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rsidP="005E512F">
            <w:pPr>
              <w:rPr>
                <w:rFonts w:ascii="David" w:hAnsi="David"/>
                <w:b/>
                <w:bCs/>
                <w:sz w:val="26"/>
                <w:szCs w:val="26"/>
                <w:rtl/>
              </w:rPr>
            </w:pPr>
            <w:r w:rsidRPr="00822550">
              <w:rPr>
                <w:rFonts w:ascii="David" w:hAnsi="David"/>
                <w:b/>
                <w:bCs/>
                <w:sz w:val="26"/>
                <w:szCs w:val="26"/>
                <w:rtl/>
              </w:rPr>
              <w:t>כבוד</w:t>
            </w:r>
            <w:r w:rsidR="00985985">
              <w:rPr>
                <w:rFonts w:ascii="David" w:hAnsi="David" w:hint="cs"/>
                <w:b/>
                <w:bCs/>
                <w:sz w:val="26"/>
                <w:szCs w:val="26"/>
                <w:rtl/>
              </w:rPr>
              <w:t xml:space="preserve"> הנשיא,</w:t>
            </w:r>
            <w:r w:rsidR="00684E84" w:rsidRPr="00822550">
              <w:rPr>
                <w:rFonts w:ascii="David" w:hAnsi="David"/>
                <w:b/>
                <w:bCs/>
                <w:sz w:val="26"/>
                <w:szCs w:val="26"/>
                <w:rtl/>
              </w:rPr>
              <w:t xml:space="preserve"> ה</w:t>
            </w:r>
            <w:r w:rsidR="005E512F">
              <w:rPr>
                <w:rFonts w:ascii="David" w:hAnsi="David" w:hint="cs"/>
                <w:b/>
                <w:bCs/>
                <w:sz w:val="26"/>
                <w:szCs w:val="26"/>
                <w:rtl/>
              </w:rPr>
              <w:t xml:space="preserve">שופט </w:t>
            </w:r>
            <w:sdt>
              <w:sdtPr>
                <w:rPr>
                  <w:rFonts w:ascii="David" w:hAnsi="David"/>
                  <w:sz w:val="26"/>
                  <w:szCs w:val="26"/>
                  <w:rtl/>
                </w:rPr>
                <w:alias w:val="1573"/>
                <w:tag w:val="1573"/>
                <w:id w:val="-1715807626"/>
                <w:text w:multiLine="1"/>
              </w:sdtPr>
              <w:sdtEndPr/>
              <w:sdtContent>
                <w:r>
                  <w:rPr>
                    <w:rFonts w:ascii="David" w:hAnsi="David"/>
                    <w:b/>
                    <w:bCs/>
                    <w:sz w:val="26"/>
                    <w:szCs w:val="26"/>
                    <w:rtl/>
                  </w:rPr>
                  <w:t>מנחם מזרחי</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r w:rsidR="00CB733E">
                  <w:rPr>
                    <w:rFonts w:ascii="Arial" w:hAnsi="Arial" w:hint="cs"/>
                    <w:b/>
                    <w:bCs/>
                    <w:sz w:val="26"/>
                    <w:szCs w:val="26"/>
                    <w:rtl/>
                  </w:rPr>
                  <w:t>:</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CB733E" w:rsidRDefault="008D456F"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5E512F">
                  <w:rPr>
                    <w:rFonts w:ascii="Arial" w:hAnsi="Arial"/>
                    <w:b/>
                    <w:bCs/>
                    <w:sz w:val="26"/>
                    <w:szCs w:val="26"/>
                    <w:rtl/>
                  </w:rPr>
                  <w:t>מדינת ישראל</w:t>
                </w:r>
                <w:r w:rsidR="00CB733E">
                  <w:rPr>
                    <w:rFonts w:ascii="Arial" w:hAnsi="Arial"/>
                    <w:b/>
                    <w:bCs/>
                    <w:sz w:val="26"/>
                    <w:szCs w:val="26"/>
                    <w:rtl/>
                  </w:rPr>
                  <w:br/>
                </w:r>
                <w:r w:rsidR="00CB733E">
                  <w:rPr>
                    <w:rFonts w:ascii="Arial" w:hAnsi="Arial" w:hint="cs"/>
                    <w:b/>
                    <w:bCs/>
                    <w:sz w:val="26"/>
                    <w:szCs w:val="26"/>
                    <w:rtl/>
                  </w:rPr>
                  <w:t>המחלקה לחקירות שוטרים</w:t>
                </w:r>
              </w:sdtContent>
            </w:sdt>
            <w:r w:rsidR="009705CC">
              <w:rPr>
                <w:rFonts w:ascii="Arial" w:hAnsi="Arial" w:hint="cs"/>
                <w:b/>
                <w:bCs/>
                <w:sz w:val="26"/>
                <w:szCs w:val="26"/>
                <w:rtl/>
              </w:rPr>
              <w:t xml:space="preserve"> </w:t>
            </w:r>
          </w:p>
          <w:p w:rsidR="000F2247" w:rsidRDefault="009705CC" w:rsidP="000F2247">
            <w:pPr>
              <w:suppressLineNumbers/>
            </w:pPr>
            <w:r>
              <w:rPr>
                <w:rFonts w:ascii="Arial" w:hAnsi="Arial"/>
                <w:b/>
                <w:bCs/>
                <w:sz w:val="26"/>
                <w:szCs w:val="26"/>
                <w:rtl/>
              </w:rPr>
              <w:t>ע"י ב"כ עוה"ד</w:t>
            </w:r>
            <w:r w:rsidR="00CB733E">
              <w:rPr>
                <w:rFonts w:hint="cs"/>
                <w:rtl/>
              </w:rPr>
              <w:t xml:space="preserve"> הילה אדלמן</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CB733E">
                  <w:rPr>
                    <w:rFonts w:ascii="Arial" w:hAnsi="Arial"/>
                    <w:b/>
                    <w:bCs/>
                    <w:sz w:val="26"/>
                    <w:szCs w:val="26"/>
                    <w:rtl/>
                  </w:rPr>
                  <w:t>נאש</w:t>
                </w:r>
                <w:r>
                  <w:rPr>
                    <w:rFonts w:ascii="Arial" w:hAnsi="Arial"/>
                    <w:b/>
                    <w:bCs/>
                    <w:sz w:val="26"/>
                    <w:szCs w:val="26"/>
                    <w:rtl/>
                  </w:rPr>
                  <w:t>ם</w:t>
                </w:r>
                <w:r w:rsidR="00CB733E">
                  <w:rPr>
                    <w:rFonts w:ascii="Arial" w:hAnsi="Arial" w:hint="cs"/>
                    <w:b/>
                    <w:bCs/>
                    <w:sz w:val="26"/>
                    <w:szCs w:val="26"/>
                    <w:rtl/>
                  </w:rPr>
                  <w:t>:</w:t>
                </w:r>
              </w:sdtContent>
            </w:sdt>
          </w:p>
        </w:tc>
        <w:tc>
          <w:tcPr>
            <w:tcW w:w="4678" w:type="dxa"/>
            <w:tcBorders>
              <w:top w:val="nil"/>
              <w:left w:val="nil"/>
              <w:bottom w:val="nil"/>
              <w:right w:val="nil"/>
            </w:tcBorders>
            <w:vAlign w:val="center"/>
          </w:tcPr>
          <w:p w:rsidR="00CB733E" w:rsidRDefault="008D456F"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5E512F">
                  <w:rPr>
                    <w:rFonts w:ascii="Arial" w:hAnsi="Arial"/>
                    <w:b/>
                    <w:bCs/>
                    <w:sz w:val="26"/>
                    <w:szCs w:val="26"/>
                    <w:rtl/>
                  </w:rPr>
                  <w:t>נסים גואטה</w:t>
                </w:r>
              </w:sdtContent>
            </w:sdt>
            <w:r w:rsidR="009705CC">
              <w:rPr>
                <w:rFonts w:ascii="Arial" w:hAnsi="Arial" w:hint="cs"/>
                <w:b/>
                <w:bCs/>
                <w:sz w:val="26"/>
                <w:szCs w:val="26"/>
                <w:rtl/>
              </w:rPr>
              <w:t xml:space="preserve"> </w:t>
            </w:r>
          </w:p>
          <w:p w:rsidR="000F2247" w:rsidRDefault="009705CC" w:rsidP="000F2247">
            <w:pPr>
              <w:suppressLineNumbers/>
            </w:pPr>
            <w:r>
              <w:rPr>
                <w:rFonts w:ascii="Arial" w:hAnsi="Arial"/>
                <w:b/>
                <w:bCs/>
                <w:sz w:val="26"/>
                <w:szCs w:val="26"/>
                <w:rtl/>
              </w:rPr>
              <w:t>ע"י ב"כ עוה"ד</w:t>
            </w:r>
            <w:r w:rsidR="00CB733E">
              <w:rPr>
                <w:rFonts w:hint="cs"/>
                <w:rtl/>
              </w:rPr>
              <w:t xml:space="preserve"> ארז אלוש עדי כרמלי</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rsidRPr="00CB733E">
        <w:trPr>
          <w:trHeight w:val="355"/>
          <w:jc w:val="center"/>
        </w:trPr>
        <w:tc>
          <w:tcPr>
            <w:tcW w:w="8820" w:type="dxa"/>
            <w:tcBorders>
              <w:top w:val="nil"/>
              <w:left w:val="nil"/>
              <w:bottom w:val="nil"/>
              <w:right w:val="nil"/>
            </w:tcBorders>
          </w:tcPr>
          <w:p w:rsidR="00CB733E" w:rsidRPr="00CB733E" w:rsidRDefault="00CB733E">
            <w:pPr>
              <w:jc w:val="center"/>
              <w:rPr>
                <w:rFonts w:ascii="David" w:hAnsi="David"/>
                <w:b/>
                <w:bCs/>
                <w:sz w:val="32"/>
                <w:szCs w:val="32"/>
                <w:u w:val="single"/>
                <w:rtl/>
              </w:rPr>
            </w:pPr>
            <w:r w:rsidRPr="00CB733E">
              <w:rPr>
                <w:rFonts w:ascii="David" w:hAnsi="David"/>
                <w:b/>
                <w:bCs/>
                <w:sz w:val="32"/>
                <w:szCs w:val="32"/>
                <w:u w:val="single"/>
                <w:rtl/>
              </w:rPr>
              <w:t>גזר</w:t>
            </w:r>
            <w:r w:rsidRPr="00CB733E">
              <w:rPr>
                <w:rFonts w:ascii="David" w:hAnsi="David" w:hint="cs"/>
                <w:b/>
                <w:bCs/>
                <w:sz w:val="32"/>
                <w:szCs w:val="32"/>
                <w:u w:val="single"/>
                <w:rtl/>
              </w:rPr>
              <w:t>-</w:t>
            </w:r>
            <w:r w:rsidR="00684E84" w:rsidRPr="00CB733E">
              <w:rPr>
                <w:rFonts w:ascii="David" w:hAnsi="David"/>
                <w:b/>
                <w:bCs/>
                <w:sz w:val="32"/>
                <w:szCs w:val="32"/>
                <w:u w:val="single"/>
                <w:rtl/>
              </w:rPr>
              <w:t>דין</w:t>
            </w:r>
            <w:r w:rsidRPr="00CB733E">
              <w:rPr>
                <w:rFonts w:ascii="David" w:hAnsi="David" w:hint="cs"/>
                <w:b/>
                <w:bCs/>
                <w:sz w:val="32"/>
                <w:szCs w:val="32"/>
                <w:u w:val="single"/>
                <w:rtl/>
              </w:rPr>
              <w:t xml:space="preserve"> </w:t>
            </w:r>
          </w:p>
          <w:p w:rsidR="00507694" w:rsidRPr="00CB733E" w:rsidRDefault="00CB733E">
            <w:pPr>
              <w:jc w:val="center"/>
              <w:rPr>
                <w:rFonts w:ascii="David" w:hAnsi="David"/>
                <w:b/>
                <w:bCs/>
                <w:sz w:val="32"/>
                <w:szCs w:val="32"/>
                <w:u w:val="single"/>
                <w:rtl/>
              </w:rPr>
            </w:pPr>
            <w:r w:rsidRPr="00CB733E">
              <w:rPr>
                <w:rFonts w:ascii="David" w:hAnsi="David" w:hint="cs"/>
                <w:b/>
                <w:bCs/>
                <w:sz w:val="32"/>
                <w:szCs w:val="32"/>
                <w:u w:val="single"/>
                <w:rtl/>
              </w:rPr>
              <w:t>החלטה בשאלת ביטול ההרשעה</w:t>
            </w:r>
          </w:p>
        </w:tc>
      </w:tr>
    </w:tbl>
    <w:p w:rsidR="00507694" w:rsidRPr="00CB733E" w:rsidRDefault="00507694">
      <w:pPr>
        <w:rPr>
          <w:rFonts w:ascii="Arial" w:hAnsi="Arial"/>
          <w:b/>
          <w:bCs/>
          <w:sz w:val="26"/>
          <w:szCs w:val="26"/>
          <w:rtl/>
        </w:rPr>
      </w:pPr>
    </w:p>
    <w:p w:rsidR="00507694" w:rsidRDefault="00507694">
      <w:pPr>
        <w:rPr>
          <w:rFonts w:ascii="Arial" w:hAnsi="Arial"/>
          <w:b/>
          <w:bCs/>
          <w:sz w:val="26"/>
          <w:szCs w:val="26"/>
          <w:rtl/>
        </w:rPr>
      </w:pPr>
    </w:p>
    <w:p w:rsidR="004B282C" w:rsidRDefault="004B282C" w:rsidP="004B282C">
      <w:pPr>
        <w:spacing w:line="360" w:lineRule="auto"/>
        <w:jc w:val="both"/>
        <w:rPr>
          <w:rFonts w:ascii="Arial" w:hAnsi="Arial"/>
          <w:sz w:val="26"/>
          <w:szCs w:val="26"/>
          <w:rtl/>
        </w:rPr>
      </w:pPr>
      <w:r w:rsidRPr="004B282C">
        <w:rPr>
          <w:rFonts w:ascii="Arial" w:hAnsi="Arial" w:hint="cs"/>
          <w:sz w:val="26"/>
          <w:szCs w:val="26"/>
          <w:rtl/>
        </w:rPr>
        <w:t>כתב</w:t>
      </w:r>
      <w:r>
        <w:rPr>
          <w:rFonts w:ascii="Arial" w:hAnsi="Arial" w:hint="cs"/>
          <w:sz w:val="26"/>
          <w:szCs w:val="26"/>
          <w:rtl/>
        </w:rPr>
        <w:t xml:space="preserve">-האישום ייחס לנאשם שתי עבירות תקיפה לפי סעיף 379 לחוק העונשין התשל"ז </w:t>
      </w:r>
      <w:r>
        <w:rPr>
          <w:rFonts w:ascii="Arial" w:hAnsi="Arial"/>
          <w:sz w:val="26"/>
          <w:szCs w:val="26"/>
          <w:rtl/>
        </w:rPr>
        <w:t>–</w:t>
      </w:r>
      <w:r>
        <w:rPr>
          <w:rFonts w:ascii="Arial" w:hAnsi="Arial" w:hint="cs"/>
          <w:sz w:val="26"/>
          <w:szCs w:val="26"/>
          <w:rtl/>
        </w:rPr>
        <w:t xml:space="preserve"> 1977.</w:t>
      </w:r>
    </w:p>
    <w:p w:rsidR="00B0110E" w:rsidRDefault="00B0110E" w:rsidP="004B282C">
      <w:pPr>
        <w:spacing w:line="360" w:lineRule="auto"/>
        <w:jc w:val="both"/>
        <w:rPr>
          <w:rFonts w:ascii="Arial" w:hAnsi="Arial"/>
          <w:sz w:val="26"/>
          <w:szCs w:val="26"/>
          <w:rtl/>
        </w:rPr>
      </w:pPr>
    </w:p>
    <w:p w:rsidR="00B0110E" w:rsidRDefault="00B0110E" w:rsidP="004B282C">
      <w:pPr>
        <w:spacing w:line="360" w:lineRule="auto"/>
        <w:jc w:val="both"/>
        <w:rPr>
          <w:rFonts w:ascii="Arial" w:hAnsi="Arial"/>
          <w:sz w:val="26"/>
          <w:szCs w:val="26"/>
          <w:rtl/>
        </w:rPr>
      </w:pPr>
      <w:r>
        <w:rPr>
          <w:rFonts w:ascii="Arial" w:hAnsi="Arial" w:hint="cs"/>
          <w:sz w:val="26"/>
          <w:szCs w:val="26"/>
          <w:rtl/>
        </w:rPr>
        <w:t>נטען, כי בתאריך 22.8.20, על רקע אירועי המחאה המתוארים בעובדה מספר 2, התקיימה תהלוכת מפגינים בירושלים, אשר לא אושרה בידי משטרת ישראל, שמנתה כאלף איש, שאובטחה בידי כוחות משטרה רבים וביניהם הנאשם, ששירת אותה עת כקצין משטרה בדרגת סגן ניצב בתפקיד ראש אג"מ במרחב ציון בירושלים.</w:t>
      </w:r>
    </w:p>
    <w:p w:rsidR="00B0110E" w:rsidRDefault="00B0110E" w:rsidP="004B282C">
      <w:pPr>
        <w:spacing w:line="360" w:lineRule="auto"/>
        <w:jc w:val="both"/>
        <w:rPr>
          <w:rFonts w:ascii="Arial" w:hAnsi="Arial"/>
          <w:sz w:val="26"/>
          <w:szCs w:val="26"/>
          <w:rtl/>
        </w:rPr>
      </w:pPr>
    </w:p>
    <w:p w:rsidR="00B0110E" w:rsidRDefault="00B0110E" w:rsidP="004B282C">
      <w:pPr>
        <w:spacing w:line="360" w:lineRule="auto"/>
        <w:jc w:val="both"/>
        <w:rPr>
          <w:rFonts w:ascii="Arial" w:hAnsi="Arial"/>
          <w:sz w:val="26"/>
          <w:szCs w:val="26"/>
          <w:rtl/>
        </w:rPr>
      </w:pPr>
      <w:r w:rsidRPr="00DC66C1">
        <w:rPr>
          <w:rFonts w:ascii="Arial" w:hAnsi="Arial" w:hint="cs"/>
          <w:b/>
          <w:bCs/>
          <w:sz w:val="26"/>
          <w:szCs w:val="26"/>
          <w:rtl/>
        </w:rPr>
        <w:t>שני אירועי תקיפה תוארו בכתב-האישום ואלו הם</w:t>
      </w:r>
      <w:r>
        <w:rPr>
          <w:rFonts w:ascii="Arial" w:hAnsi="Arial" w:hint="cs"/>
          <w:sz w:val="26"/>
          <w:szCs w:val="26"/>
          <w:rtl/>
        </w:rPr>
        <w:t xml:space="preserve">: </w:t>
      </w:r>
    </w:p>
    <w:p w:rsidR="00B0110E" w:rsidRDefault="00B0110E" w:rsidP="004B282C">
      <w:pPr>
        <w:spacing w:line="360" w:lineRule="auto"/>
        <w:jc w:val="both"/>
        <w:rPr>
          <w:rFonts w:ascii="Arial" w:hAnsi="Arial"/>
          <w:sz w:val="26"/>
          <w:szCs w:val="26"/>
          <w:rtl/>
        </w:rPr>
      </w:pPr>
    </w:p>
    <w:p w:rsidR="00B0110E" w:rsidRDefault="00B0110E" w:rsidP="004B282C">
      <w:pPr>
        <w:spacing w:line="360" w:lineRule="auto"/>
        <w:jc w:val="both"/>
        <w:rPr>
          <w:rFonts w:ascii="Arial" w:hAnsi="Arial"/>
          <w:sz w:val="26"/>
          <w:szCs w:val="26"/>
          <w:rtl/>
        </w:rPr>
      </w:pPr>
      <w:r>
        <w:rPr>
          <w:rFonts w:ascii="Arial" w:hAnsi="Arial" w:hint="cs"/>
          <w:sz w:val="26"/>
          <w:szCs w:val="26"/>
          <w:rtl/>
        </w:rPr>
        <w:t>האירוע הראשון מתואר בעובדה מספר 5 ושם נטען כי אחד המפגינים, אביחי גרין, פנה אל הנאשם והלין בפניו על התנהגות השוטרים כלפי המפגינים ובתגובה לכך הדף אותו הנאשם בחוזקה בשתי ידיו בפניו, פעמיים.</w:t>
      </w:r>
    </w:p>
    <w:p w:rsidR="003066BC" w:rsidRDefault="003066BC" w:rsidP="004B282C">
      <w:pPr>
        <w:spacing w:line="360" w:lineRule="auto"/>
        <w:jc w:val="both"/>
        <w:rPr>
          <w:rFonts w:ascii="Arial" w:hAnsi="Arial"/>
          <w:sz w:val="26"/>
          <w:szCs w:val="26"/>
          <w:rtl/>
        </w:rPr>
      </w:pPr>
    </w:p>
    <w:p w:rsidR="003066BC" w:rsidRDefault="003066BC" w:rsidP="004B282C">
      <w:pPr>
        <w:spacing w:line="360" w:lineRule="auto"/>
        <w:jc w:val="both"/>
        <w:rPr>
          <w:rFonts w:ascii="Arial" w:hAnsi="Arial"/>
          <w:sz w:val="26"/>
          <w:szCs w:val="26"/>
          <w:rtl/>
        </w:rPr>
      </w:pPr>
      <w:r>
        <w:rPr>
          <w:rFonts w:ascii="Arial" w:hAnsi="Arial" w:hint="cs"/>
          <w:sz w:val="26"/>
          <w:szCs w:val="26"/>
          <w:rtl/>
        </w:rPr>
        <w:t xml:space="preserve">האירוע השני מתואר בעובדה מספר 8, ועל רקע המתואר בעובדות 6 </w:t>
      </w:r>
      <w:r>
        <w:rPr>
          <w:rFonts w:ascii="Arial" w:hAnsi="Arial"/>
          <w:sz w:val="26"/>
          <w:szCs w:val="26"/>
          <w:rtl/>
        </w:rPr>
        <w:t>–</w:t>
      </w:r>
      <w:r>
        <w:rPr>
          <w:rFonts w:ascii="Arial" w:hAnsi="Arial" w:hint="cs"/>
          <w:sz w:val="26"/>
          <w:szCs w:val="26"/>
          <w:rtl/>
        </w:rPr>
        <w:t xml:space="preserve"> 7, ושם</w:t>
      </w:r>
      <w:r w:rsidR="00DC66C1">
        <w:rPr>
          <w:rFonts w:ascii="Arial" w:hAnsi="Arial" w:hint="cs"/>
          <w:sz w:val="26"/>
          <w:szCs w:val="26"/>
          <w:rtl/>
        </w:rPr>
        <w:t xml:space="preserve"> נטען, כי הנאשם תקף צלם עיתונות, </w:t>
      </w:r>
      <w:r>
        <w:rPr>
          <w:rFonts w:ascii="Arial" w:hAnsi="Arial" w:hint="cs"/>
          <w:sz w:val="26"/>
          <w:szCs w:val="26"/>
          <w:rtl/>
        </w:rPr>
        <w:t>ילון גורביץ, בכך שהדף אותו בחלק גופו העליון לאחור, הכה בו בעוצמה בצד פניו, בעודו אוחז בידו במכשיר קשר, כתוצאה מכך משקפיו של המתלונן נפלו והוא סבל מכאבים.</w:t>
      </w:r>
    </w:p>
    <w:p w:rsidR="003066BC" w:rsidRDefault="003066BC" w:rsidP="004B282C">
      <w:pPr>
        <w:spacing w:line="360" w:lineRule="auto"/>
        <w:jc w:val="both"/>
        <w:rPr>
          <w:rFonts w:ascii="Arial" w:hAnsi="Arial"/>
          <w:sz w:val="26"/>
          <w:szCs w:val="26"/>
          <w:rtl/>
        </w:rPr>
      </w:pPr>
    </w:p>
    <w:p w:rsidR="003066BC" w:rsidRDefault="003066BC" w:rsidP="00DC66C1">
      <w:pPr>
        <w:spacing w:line="360" w:lineRule="auto"/>
        <w:jc w:val="both"/>
        <w:rPr>
          <w:rFonts w:ascii="Arial" w:hAnsi="Arial"/>
          <w:sz w:val="26"/>
          <w:szCs w:val="26"/>
          <w:rtl/>
        </w:rPr>
      </w:pPr>
      <w:r>
        <w:rPr>
          <w:rFonts w:ascii="Arial" w:hAnsi="Arial" w:hint="cs"/>
          <w:sz w:val="26"/>
          <w:szCs w:val="26"/>
          <w:rtl/>
        </w:rPr>
        <w:t>לאחר הליך של הבאת ראיות, בתאריך 23.6.22, הרשיע בית-משפט השלום, כב' הנשיאה עינת רון</w:t>
      </w:r>
      <w:r w:rsidR="00DC66C1">
        <w:rPr>
          <w:rFonts w:ascii="Arial" w:hAnsi="Arial" w:hint="cs"/>
          <w:sz w:val="26"/>
          <w:szCs w:val="26"/>
          <w:rtl/>
        </w:rPr>
        <w:t>,</w:t>
      </w:r>
      <w:r>
        <w:rPr>
          <w:rFonts w:ascii="Arial" w:hAnsi="Arial" w:hint="cs"/>
          <w:sz w:val="26"/>
          <w:szCs w:val="26"/>
          <w:rtl/>
        </w:rPr>
        <w:t xml:space="preserve"> </w:t>
      </w:r>
      <w:r w:rsidR="00DC66C1">
        <w:rPr>
          <w:rFonts w:ascii="Arial" w:hAnsi="Arial" w:hint="cs"/>
          <w:sz w:val="26"/>
          <w:szCs w:val="26"/>
          <w:rtl/>
        </w:rPr>
        <w:t>מנוחתה עדן</w:t>
      </w:r>
      <w:r>
        <w:rPr>
          <w:rFonts w:ascii="Arial" w:hAnsi="Arial" w:hint="cs"/>
          <w:sz w:val="26"/>
          <w:szCs w:val="26"/>
          <w:rtl/>
        </w:rPr>
        <w:t>, את הנאשם בכתב-האישום, בביצוע שתי העבירות דלעיל.</w:t>
      </w:r>
    </w:p>
    <w:p w:rsidR="003066BC" w:rsidRDefault="003066BC" w:rsidP="004B282C">
      <w:pPr>
        <w:spacing w:line="360" w:lineRule="auto"/>
        <w:jc w:val="both"/>
        <w:rPr>
          <w:rFonts w:ascii="Arial" w:hAnsi="Arial"/>
          <w:sz w:val="26"/>
          <w:szCs w:val="26"/>
          <w:rtl/>
        </w:rPr>
      </w:pPr>
    </w:p>
    <w:p w:rsidR="003066BC" w:rsidRDefault="003066BC" w:rsidP="004B282C">
      <w:pPr>
        <w:spacing w:line="360" w:lineRule="auto"/>
        <w:jc w:val="both"/>
        <w:rPr>
          <w:rFonts w:ascii="Arial" w:hAnsi="Arial"/>
          <w:sz w:val="26"/>
          <w:szCs w:val="26"/>
          <w:rtl/>
        </w:rPr>
      </w:pPr>
      <w:r>
        <w:rPr>
          <w:rFonts w:ascii="Arial" w:hAnsi="Arial" w:hint="cs"/>
          <w:sz w:val="26"/>
          <w:szCs w:val="26"/>
          <w:rtl/>
        </w:rPr>
        <w:t xml:space="preserve">בהמשך, בתאריך 9.8.22 גזר-בית-משפט השלום את עונשו של הנאשם לחמישה חודשי מאסר מותנים </w:t>
      </w:r>
      <w:r w:rsidR="003C34FC">
        <w:rPr>
          <w:rFonts w:ascii="Arial" w:hAnsi="Arial" w:hint="cs"/>
          <w:sz w:val="26"/>
          <w:szCs w:val="26"/>
          <w:rtl/>
        </w:rPr>
        <w:t>שלא יעבור עבירת אלימות.</w:t>
      </w:r>
    </w:p>
    <w:p w:rsidR="003C34FC" w:rsidRDefault="003C34FC" w:rsidP="004B282C">
      <w:pPr>
        <w:spacing w:line="360" w:lineRule="auto"/>
        <w:jc w:val="both"/>
        <w:rPr>
          <w:rFonts w:ascii="Arial" w:hAnsi="Arial"/>
          <w:sz w:val="26"/>
          <w:szCs w:val="26"/>
          <w:rtl/>
        </w:rPr>
      </w:pPr>
    </w:p>
    <w:p w:rsidR="003C34FC" w:rsidRDefault="003C34FC" w:rsidP="004B282C">
      <w:pPr>
        <w:spacing w:line="360" w:lineRule="auto"/>
        <w:jc w:val="both"/>
        <w:rPr>
          <w:rFonts w:ascii="Arial" w:hAnsi="Arial"/>
          <w:sz w:val="26"/>
          <w:szCs w:val="26"/>
          <w:rtl/>
        </w:rPr>
      </w:pPr>
      <w:r>
        <w:rPr>
          <w:rFonts w:ascii="Arial" w:hAnsi="Arial" w:hint="cs"/>
          <w:sz w:val="26"/>
          <w:szCs w:val="26"/>
          <w:rtl/>
        </w:rPr>
        <w:t>הנאשם הגיש ערעור לבית-המשפט המחוזי מרכז לוד, ובתאריך 27.3.23 קיבל בית-המשפט המחוזי</w:t>
      </w:r>
      <w:r w:rsidR="00DC66C1">
        <w:rPr>
          <w:rFonts w:ascii="Arial" w:hAnsi="Arial" w:hint="cs"/>
          <w:sz w:val="26"/>
          <w:szCs w:val="26"/>
          <w:rtl/>
        </w:rPr>
        <w:t xml:space="preserve"> באופן חלקי את הערעור</w:t>
      </w:r>
      <w:r>
        <w:rPr>
          <w:rFonts w:ascii="Arial" w:hAnsi="Arial" w:hint="cs"/>
          <w:sz w:val="26"/>
          <w:szCs w:val="26"/>
          <w:rtl/>
        </w:rPr>
        <w:t xml:space="preserve"> (ע"פ 47594-09-22 הרכב ברא</w:t>
      </w:r>
      <w:r w:rsidR="00DC66C1">
        <w:rPr>
          <w:rFonts w:ascii="Arial" w:hAnsi="Arial" w:hint="cs"/>
          <w:sz w:val="26"/>
          <w:szCs w:val="26"/>
          <w:rtl/>
        </w:rPr>
        <w:t>שות כב' השופטת דנה מרשק מרום) ו</w:t>
      </w:r>
      <w:r>
        <w:rPr>
          <w:rFonts w:ascii="Arial" w:hAnsi="Arial" w:hint="cs"/>
          <w:sz w:val="26"/>
          <w:szCs w:val="26"/>
          <w:rtl/>
        </w:rPr>
        <w:t>זיכה אותו מאירוע התקיפה הראשון דלעיל.</w:t>
      </w:r>
    </w:p>
    <w:p w:rsidR="005232A8" w:rsidRDefault="005232A8" w:rsidP="004B282C">
      <w:pPr>
        <w:spacing w:line="360" w:lineRule="auto"/>
        <w:jc w:val="both"/>
        <w:rPr>
          <w:rFonts w:ascii="Arial" w:hAnsi="Arial"/>
          <w:sz w:val="26"/>
          <w:szCs w:val="26"/>
          <w:rtl/>
        </w:rPr>
      </w:pPr>
    </w:p>
    <w:p w:rsidR="005232A8" w:rsidRDefault="005232A8" w:rsidP="004B282C">
      <w:pPr>
        <w:spacing w:line="360" w:lineRule="auto"/>
        <w:jc w:val="both"/>
        <w:rPr>
          <w:rFonts w:ascii="Arial" w:hAnsi="Arial"/>
          <w:sz w:val="26"/>
          <w:szCs w:val="26"/>
          <w:rtl/>
        </w:rPr>
      </w:pPr>
      <w:r>
        <w:rPr>
          <w:rFonts w:ascii="Arial" w:hAnsi="Arial" w:hint="cs"/>
          <w:sz w:val="26"/>
          <w:szCs w:val="26"/>
          <w:rtl/>
        </w:rPr>
        <w:t>בית-המשפט המחוזי החזיר את הדיון אל בית-משפט השלום לגזירת העונש מחדש.</w:t>
      </w:r>
    </w:p>
    <w:p w:rsidR="005232A8" w:rsidRDefault="005232A8" w:rsidP="004B282C">
      <w:pPr>
        <w:spacing w:line="360" w:lineRule="auto"/>
        <w:jc w:val="both"/>
        <w:rPr>
          <w:rFonts w:ascii="Arial" w:hAnsi="Arial"/>
          <w:sz w:val="26"/>
          <w:szCs w:val="26"/>
          <w:rtl/>
        </w:rPr>
      </w:pPr>
    </w:p>
    <w:p w:rsidR="005232A8" w:rsidRDefault="005232A8" w:rsidP="004B282C">
      <w:pPr>
        <w:spacing w:line="360" w:lineRule="auto"/>
        <w:jc w:val="both"/>
        <w:rPr>
          <w:rFonts w:ascii="Arial" w:hAnsi="Arial"/>
          <w:sz w:val="26"/>
          <w:szCs w:val="26"/>
          <w:rtl/>
        </w:rPr>
      </w:pPr>
      <w:r>
        <w:rPr>
          <w:rFonts w:ascii="Arial" w:hAnsi="Arial" w:hint="cs"/>
          <w:sz w:val="26"/>
          <w:szCs w:val="26"/>
          <w:rtl/>
        </w:rPr>
        <w:t>נוכח פטירתה של הנשיאה עינת רון ז"ל, קבעתי את המשך הדיון בפניי. הנאשם נשלח תחילה אל שירות לקבלת תסקיר, אולם נוכח בקשת שירות המבחן לדחות את הדיון לחודש נובמבר 2023 ובקשתו של הנאשם, נערך הטיעון לעונש בסופו של יום, בהעדר תסקיר.</w:t>
      </w:r>
    </w:p>
    <w:p w:rsidR="001C0414" w:rsidRDefault="001C0414" w:rsidP="004B282C">
      <w:pPr>
        <w:spacing w:line="360" w:lineRule="auto"/>
        <w:jc w:val="both"/>
        <w:rPr>
          <w:rFonts w:ascii="Arial" w:hAnsi="Arial"/>
          <w:sz w:val="26"/>
          <w:szCs w:val="26"/>
          <w:rtl/>
        </w:rPr>
      </w:pPr>
    </w:p>
    <w:p w:rsidR="001C0414" w:rsidRDefault="001C0414" w:rsidP="004B282C">
      <w:pPr>
        <w:spacing w:line="360" w:lineRule="auto"/>
        <w:jc w:val="both"/>
        <w:rPr>
          <w:rFonts w:ascii="Arial" w:hAnsi="Arial"/>
          <w:sz w:val="26"/>
          <w:szCs w:val="26"/>
          <w:rtl/>
        </w:rPr>
      </w:pPr>
      <w:r>
        <w:rPr>
          <w:rFonts w:ascii="Arial" w:hAnsi="Arial" w:hint="cs"/>
          <w:sz w:val="26"/>
          <w:szCs w:val="26"/>
          <w:rtl/>
        </w:rPr>
        <w:t>במעמד הטיעון לעונש דחיתי את שתי טענותיו של הנאשם לקיומן של הגנה מן הצדק ו"זוטי דברים", וקבעתי שאתייחס לטיעונים העובדתיים במכלול שיקוליי, במסגרת גזר-דין זה.</w:t>
      </w:r>
    </w:p>
    <w:p w:rsidR="003C34FC" w:rsidRDefault="003C34FC" w:rsidP="004B282C">
      <w:pPr>
        <w:spacing w:line="360" w:lineRule="auto"/>
        <w:jc w:val="both"/>
        <w:rPr>
          <w:rFonts w:ascii="Arial" w:hAnsi="Arial"/>
          <w:sz w:val="26"/>
          <w:szCs w:val="26"/>
          <w:rtl/>
        </w:rPr>
      </w:pPr>
    </w:p>
    <w:p w:rsidR="003C34FC" w:rsidRPr="00DC66C1" w:rsidRDefault="003C34FC" w:rsidP="004B282C">
      <w:pPr>
        <w:spacing w:line="360" w:lineRule="auto"/>
        <w:jc w:val="both"/>
        <w:rPr>
          <w:rFonts w:ascii="Arial" w:hAnsi="Arial"/>
          <w:b/>
          <w:bCs/>
          <w:sz w:val="26"/>
          <w:szCs w:val="26"/>
          <w:rtl/>
        </w:rPr>
      </w:pPr>
      <w:r w:rsidRPr="00DC66C1">
        <w:rPr>
          <w:rFonts w:ascii="Arial" w:hAnsi="Arial" w:hint="cs"/>
          <w:b/>
          <w:bCs/>
          <w:sz w:val="26"/>
          <w:szCs w:val="26"/>
          <w:rtl/>
        </w:rPr>
        <w:t>מסגרת הדיון היא קביעותיו של בית-המשפט המחוזי הנכבד בפסק-הדין של הערעור.</w:t>
      </w:r>
    </w:p>
    <w:p w:rsidR="003C34FC" w:rsidRDefault="003C34FC" w:rsidP="004B282C">
      <w:pPr>
        <w:spacing w:line="360" w:lineRule="auto"/>
        <w:jc w:val="both"/>
        <w:rPr>
          <w:rFonts w:ascii="Arial" w:hAnsi="Arial"/>
          <w:sz w:val="26"/>
          <w:szCs w:val="26"/>
          <w:rtl/>
        </w:rPr>
      </w:pPr>
    </w:p>
    <w:p w:rsidR="003C34FC" w:rsidRPr="005232A8" w:rsidRDefault="003C34FC" w:rsidP="004B282C">
      <w:pPr>
        <w:spacing w:line="360" w:lineRule="auto"/>
        <w:jc w:val="both"/>
        <w:rPr>
          <w:rFonts w:ascii="Arial" w:hAnsi="Arial"/>
          <w:b/>
          <w:bCs/>
          <w:sz w:val="26"/>
          <w:szCs w:val="26"/>
          <w:rtl/>
        </w:rPr>
      </w:pPr>
      <w:r w:rsidRPr="005232A8">
        <w:rPr>
          <w:rFonts w:ascii="Arial" w:hAnsi="Arial" w:hint="cs"/>
          <w:b/>
          <w:bCs/>
          <w:sz w:val="26"/>
          <w:szCs w:val="26"/>
          <w:rtl/>
        </w:rPr>
        <w:t>ואלו הקביעות העובדתיות</w:t>
      </w:r>
      <w:r w:rsidR="00891615">
        <w:rPr>
          <w:rFonts w:ascii="Arial" w:hAnsi="Arial" w:hint="cs"/>
          <w:b/>
          <w:bCs/>
          <w:sz w:val="26"/>
          <w:szCs w:val="26"/>
          <w:rtl/>
        </w:rPr>
        <w:t xml:space="preserve"> של בית-המשפט המחוזי בכל הקשור לאירוע התקיפה השני</w:t>
      </w:r>
      <w:r w:rsidRPr="005232A8">
        <w:rPr>
          <w:rFonts w:ascii="Arial" w:hAnsi="Arial" w:hint="cs"/>
          <w:b/>
          <w:bCs/>
          <w:sz w:val="26"/>
          <w:szCs w:val="26"/>
          <w:rtl/>
        </w:rPr>
        <w:t>:</w:t>
      </w:r>
    </w:p>
    <w:p w:rsidR="005232A8" w:rsidRDefault="005232A8" w:rsidP="004B282C">
      <w:pPr>
        <w:spacing w:line="360" w:lineRule="auto"/>
        <w:jc w:val="both"/>
        <w:rPr>
          <w:rFonts w:ascii="Arial" w:hAnsi="Arial"/>
          <w:sz w:val="26"/>
          <w:szCs w:val="26"/>
          <w:rtl/>
        </w:rPr>
      </w:pPr>
    </w:p>
    <w:p w:rsidR="00B0110E" w:rsidRDefault="005232A8" w:rsidP="001C0414">
      <w:pPr>
        <w:spacing w:line="360" w:lineRule="auto"/>
        <w:jc w:val="both"/>
        <w:rPr>
          <w:rFonts w:ascii="Arial" w:hAnsi="Arial"/>
          <w:sz w:val="26"/>
          <w:szCs w:val="26"/>
          <w:rtl/>
        </w:rPr>
      </w:pPr>
      <w:r>
        <w:rPr>
          <w:noProof/>
        </w:rPr>
        <w:lastRenderedPageBreak/>
        <w:drawing>
          <wp:inline distT="0" distB="0" distL="0" distR="0" wp14:anchorId="01492790" wp14:editId="2877F72C">
            <wp:extent cx="5274945" cy="4386580"/>
            <wp:effectExtent l="0" t="0" r="1905"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8"/>
                    <a:stretch>
                      <a:fillRect/>
                    </a:stretch>
                  </pic:blipFill>
                  <pic:spPr>
                    <a:xfrm>
                      <a:off x="0" y="0"/>
                      <a:ext cx="5274945" cy="4386580"/>
                    </a:xfrm>
                    <a:prstGeom prst="rect">
                      <a:avLst/>
                    </a:prstGeom>
                  </pic:spPr>
                </pic:pic>
              </a:graphicData>
            </a:graphic>
          </wp:inline>
        </w:drawing>
      </w:r>
    </w:p>
    <w:p w:rsidR="00B0110E" w:rsidRPr="004B282C" w:rsidRDefault="001C0414" w:rsidP="004B282C">
      <w:pPr>
        <w:spacing w:line="360" w:lineRule="auto"/>
        <w:jc w:val="both"/>
        <w:rPr>
          <w:rFonts w:ascii="Arial" w:hAnsi="Arial"/>
          <w:sz w:val="26"/>
          <w:szCs w:val="26"/>
          <w:rtl/>
        </w:rPr>
      </w:pPr>
      <w:r>
        <w:rPr>
          <w:noProof/>
        </w:rPr>
        <w:drawing>
          <wp:inline distT="0" distB="0" distL="0" distR="0" wp14:anchorId="7B2E8960" wp14:editId="253FE9A2">
            <wp:extent cx="5267325" cy="1609725"/>
            <wp:effectExtent l="0" t="0" r="9525"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67325" cy="1609725"/>
                    </a:xfrm>
                    <a:prstGeom prst="rect">
                      <a:avLst/>
                    </a:prstGeom>
                  </pic:spPr>
                </pic:pic>
              </a:graphicData>
            </a:graphic>
          </wp:inline>
        </w:drawing>
      </w:r>
    </w:p>
    <w:p w:rsidR="00507694" w:rsidRDefault="001C0414" w:rsidP="004B282C">
      <w:pPr>
        <w:spacing w:line="360" w:lineRule="auto"/>
        <w:jc w:val="both"/>
        <w:rPr>
          <w:rFonts w:ascii="Arial" w:hAnsi="Arial"/>
          <w:b/>
          <w:bCs/>
          <w:sz w:val="26"/>
          <w:szCs w:val="26"/>
          <w:rtl/>
        </w:rPr>
      </w:pPr>
      <w:r>
        <w:rPr>
          <w:rFonts w:ascii="Arial" w:hAnsi="Arial" w:hint="cs"/>
          <w:b/>
          <w:bCs/>
          <w:sz w:val="26"/>
          <w:szCs w:val="26"/>
          <w:rtl/>
        </w:rPr>
        <w:t xml:space="preserve">המחלוקת </w:t>
      </w:r>
      <w:r w:rsidR="00DC66C1">
        <w:rPr>
          <w:rFonts w:ascii="Arial" w:hAnsi="Arial" w:hint="cs"/>
          <w:b/>
          <w:bCs/>
          <w:sz w:val="26"/>
          <w:szCs w:val="26"/>
          <w:rtl/>
        </w:rPr>
        <w:t xml:space="preserve">העונשית העיקרית, </w:t>
      </w:r>
      <w:r>
        <w:rPr>
          <w:rFonts w:ascii="Arial" w:hAnsi="Arial" w:hint="cs"/>
          <w:b/>
          <w:bCs/>
          <w:sz w:val="26"/>
          <w:szCs w:val="26"/>
          <w:rtl/>
        </w:rPr>
        <w:t>שנפלה בין הצדדים היא בשאלת ביטול ההרשעה.</w:t>
      </w:r>
    </w:p>
    <w:p w:rsidR="001C0414" w:rsidRDefault="001C0414" w:rsidP="004B282C">
      <w:pPr>
        <w:spacing w:line="360" w:lineRule="auto"/>
        <w:jc w:val="both"/>
        <w:rPr>
          <w:rFonts w:ascii="Arial" w:hAnsi="Arial"/>
          <w:b/>
          <w:bCs/>
          <w:sz w:val="26"/>
          <w:szCs w:val="26"/>
          <w:rtl/>
        </w:rPr>
      </w:pPr>
    </w:p>
    <w:p w:rsidR="001C0414" w:rsidRDefault="001C0414" w:rsidP="004B282C">
      <w:pPr>
        <w:spacing w:line="360" w:lineRule="auto"/>
        <w:jc w:val="both"/>
        <w:rPr>
          <w:rFonts w:ascii="Arial" w:hAnsi="Arial"/>
          <w:b/>
          <w:bCs/>
          <w:sz w:val="26"/>
          <w:szCs w:val="26"/>
          <w:rtl/>
        </w:rPr>
      </w:pPr>
      <w:r>
        <w:rPr>
          <w:rFonts w:ascii="Arial" w:hAnsi="Arial" w:hint="cs"/>
          <w:b/>
          <w:bCs/>
          <w:sz w:val="26"/>
          <w:szCs w:val="26"/>
          <w:rtl/>
        </w:rPr>
        <w:t>לאחר שבחנתי את טיעוני הצדדים, באתי אל המסקנה, כי יש לקבל את עמדת הנאשם, להורות על ביטול ההרשעה, לגזור את עונשו באופן אחר, הנובע מביטול ההרשעה, והכל מן הנ</w:t>
      </w:r>
      <w:r w:rsidR="008D2A75">
        <w:rPr>
          <w:rFonts w:ascii="Arial" w:hAnsi="Arial" w:hint="cs"/>
          <w:b/>
          <w:bCs/>
          <w:sz w:val="26"/>
          <w:szCs w:val="26"/>
          <w:rtl/>
        </w:rPr>
        <w:t>ימוקים הבאים:</w:t>
      </w:r>
    </w:p>
    <w:p w:rsidR="008D2A75" w:rsidRDefault="008D2A75" w:rsidP="004B282C">
      <w:pPr>
        <w:spacing w:line="360" w:lineRule="auto"/>
        <w:jc w:val="both"/>
        <w:rPr>
          <w:rFonts w:ascii="Arial" w:hAnsi="Arial"/>
          <w:b/>
          <w:bCs/>
          <w:sz w:val="26"/>
          <w:szCs w:val="26"/>
          <w:rtl/>
        </w:rPr>
      </w:pPr>
    </w:p>
    <w:p w:rsidR="008D2A75" w:rsidRDefault="00CE7496" w:rsidP="004B282C">
      <w:pPr>
        <w:spacing w:line="360" w:lineRule="auto"/>
        <w:jc w:val="both"/>
        <w:rPr>
          <w:rFonts w:ascii="Arial" w:hAnsi="Arial"/>
          <w:sz w:val="26"/>
          <w:szCs w:val="26"/>
          <w:rtl/>
        </w:rPr>
      </w:pPr>
      <w:r>
        <w:rPr>
          <w:rFonts w:ascii="Arial" w:hAnsi="Arial" w:hint="cs"/>
          <w:b/>
          <w:bCs/>
          <w:sz w:val="26"/>
          <w:szCs w:val="26"/>
          <w:rtl/>
        </w:rPr>
        <w:lastRenderedPageBreak/>
        <w:t xml:space="preserve">ראשית, חומרת העבירה: </w:t>
      </w:r>
      <w:r w:rsidR="004B72CF">
        <w:rPr>
          <w:rFonts w:ascii="Arial" w:hAnsi="Arial" w:hint="cs"/>
          <w:sz w:val="26"/>
          <w:szCs w:val="26"/>
          <w:rtl/>
        </w:rPr>
        <w:t>איני מקל ראש בחומרת האירוע האלים שנותר ושבגינו הורשע. הנאשם, בהיותו קצין משטרה, הדף את המתלונן, הכה בו בפניו, עת אחז בידו במכשיר קשר, ומבלי שהמתלונן עשה דבר, מלבד לבצע את תפקידו העיתונאי ולתעד את ההפגנה.</w:t>
      </w:r>
    </w:p>
    <w:p w:rsidR="004B72CF" w:rsidRDefault="004B72CF" w:rsidP="004B282C">
      <w:pPr>
        <w:spacing w:line="360" w:lineRule="auto"/>
        <w:jc w:val="both"/>
        <w:rPr>
          <w:rFonts w:ascii="Arial" w:hAnsi="Arial"/>
          <w:sz w:val="26"/>
          <w:szCs w:val="26"/>
          <w:rtl/>
        </w:rPr>
      </w:pPr>
    </w:p>
    <w:p w:rsidR="004B72CF" w:rsidRDefault="004B72CF" w:rsidP="004B282C">
      <w:pPr>
        <w:spacing w:line="360" w:lineRule="auto"/>
        <w:jc w:val="both"/>
        <w:rPr>
          <w:rFonts w:ascii="Arial" w:hAnsi="Arial"/>
          <w:sz w:val="26"/>
          <w:szCs w:val="26"/>
          <w:rtl/>
        </w:rPr>
      </w:pPr>
      <w:r>
        <w:rPr>
          <w:rFonts w:ascii="Arial" w:hAnsi="Arial" w:hint="cs"/>
          <w:sz w:val="26"/>
          <w:szCs w:val="26"/>
          <w:rtl/>
        </w:rPr>
        <w:t xml:space="preserve">יחד עם זאת, </w:t>
      </w:r>
      <w:r w:rsidRPr="008A4DCE">
        <w:rPr>
          <w:rFonts w:ascii="Arial" w:hAnsi="Arial" w:hint="cs"/>
          <w:b/>
          <w:bCs/>
          <w:sz w:val="26"/>
          <w:szCs w:val="26"/>
          <w:rtl/>
        </w:rPr>
        <w:t>אין לנתק את האירוע המדובר בהקשרו</w:t>
      </w:r>
      <w:r w:rsidR="00937343" w:rsidRPr="008A4DCE">
        <w:rPr>
          <w:rFonts w:ascii="Arial" w:hAnsi="Arial" w:hint="cs"/>
          <w:b/>
          <w:bCs/>
          <w:sz w:val="26"/>
          <w:szCs w:val="26"/>
          <w:rtl/>
        </w:rPr>
        <w:t xml:space="preserve"> ואין לבחון אותו "בתנאי מעבדה"</w:t>
      </w:r>
      <w:r w:rsidR="008A4DCE">
        <w:rPr>
          <w:rFonts w:ascii="Arial" w:hAnsi="Arial" w:hint="cs"/>
          <w:b/>
          <w:bCs/>
          <w:sz w:val="26"/>
          <w:szCs w:val="26"/>
          <w:rtl/>
        </w:rPr>
        <w:t>.</w:t>
      </w:r>
      <w:r w:rsidR="00BC769D">
        <w:rPr>
          <w:rFonts w:ascii="Arial" w:hAnsi="Arial" w:hint="cs"/>
          <w:sz w:val="26"/>
          <w:szCs w:val="26"/>
          <w:rtl/>
        </w:rPr>
        <w:t xml:space="preserve"> אין בפניי אלימות משטרתית לשמה, אין תכנון, אלא שהיה זה אירוע מתגלגל, שהתרחש במסגרת תפקידו של הנאשם, מתוך הקשר עובדתי מיוחד, וכפי שהיטיב בית-המשפט המחוזי להגדיר את מצב הדברים, כדלקמן:</w:t>
      </w:r>
    </w:p>
    <w:p w:rsidR="004B72CF" w:rsidRDefault="004B72CF" w:rsidP="004B282C">
      <w:pPr>
        <w:spacing w:line="360" w:lineRule="auto"/>
        <w:jc w:val="both"/>
        <w:rPr>
          <w:rFonts w:ascii="Arial" w:hAnsi="Arial"/>
          <w:sz w:val="26"/>
          <w:szCs w:val="26"/>
          <w:rtl/>
        </w:rPr>
      </w:pPr>
    </w:p>
    <w:p w:rsidR="004B72CF" w:rsidRPr="004B72CF" w:rsidRDefault="004B72CF" w:rsidP="004B282C">
      <w:pPr>
        <w:spacing w:line="360" w:lineRule="auto"/>
        <w:jc w:val="both"/>
        <w:rPr>
          <w:rFonts w:ascii="Arial" w:hAnsi="Arial"/>
          <w:sz w:val="26"/>
          <w:szCs w:val="26"/>
          <w:rtl/>
        </w:rPr>
      </w:pPr>
      <w:r>
        <w:rPr>
          <w:noProof/>
        </w:rPr>
        <w:drawing>
          <wp:inline distT="0" distB="0" distL="0" distR="0" wp14:anchorId="58318CD4" wp14:editId="5FF7A24A">
            <wp:extent cx="5238750" cy="17335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38750" cy="1733550"/>
                    </a:xfrm>
                    <a:prstGeom prst="rect">
                      <a:avLst/>
                    </a:prstGeom>
                  </pic:spPr>
                </pic:pic>
              </a:graphicData>
            </a:graphic>
          </wp:inline>
        </w:drawing>
      </w:r>
    </w:p>
    <w:p w:rsidR="00BC769D" w:rsidRDefault="00BC769D">
      <w:pPr>
        <w:rPr>
          <w:rFonts w:ascii="Arial" w:hAnsi="Arial"/>
          <w:b/>
          <w:bCs/>
          <w:sz w:val="26"/>
          <w:szCs w:val="26"/>
          <w:rtl/>
        </w:rPr>
      </w:pPr>
    </w:p>
    <w:p w:rsidR="008544D5" w:rsidRPr="008544D5" w:rsidRDefault="008544D5" w:rsidP="00BC769D">
      <w:pPr>
        <w:spacing w:line="360" w:lineRule="auto"/>
        <w:jc w:val="both"/>
        <w:rPr>
          <w:rFonts w:ascii="Arial" w:hAnsi="Arial"/>
          <w:sz w:val="26"/>
          <w:szCs w:val="26"/>
          <w:rtl/>
        </w:rPr>
      </w:pPr>
      <w:r>
        <w:rPr>
          <w:rFonts w:ascii="Arial" w:hAnsi="Arial" w:hint="cs"/>
          <w:sz w:val="26"/>
          <w:szCs w:val="26"/>
          <w:rtl/>
        </w:rPr>
        <w:t>ולא מיותר יהא להדגיש את קביעת בית-המשפט המחוזי הנכבד, אודות נסיבות האירוע, כדלקמן: "</w:t>
      </w:r>
      <w:r w:rsidRPr="008A4DCE">
        <w:rPr>
          <w:rFonts w:ascii="Arial" w:hAnsi="Arial" w:hint="cs"/>
          <w:b/>
          <w:bCs/>
          <w:sz w:val="26"/>
          <w:szCs w:val="26"/>
          <w:rtl/>
        </w:rPr>
        <w:t>עולה שנסיבות מקרה זה חמורות פחות מכפי שמשתקף מה</w:t>
      </w:r>
      <w:r w:rsidR="004F0102">
        <w:rPr>
          <w:rFonts w:ascii="Arial" w:hAnsi="Arial" w:hint="cs"/>
          <w:b/>
          <w:bCs/>
          <w:sz w:val="26"/>
          <w:szCs w:val="26"/>
          <w:rtl/>
        </w:rPr>
        <w:t>כר</w:t>
      </w:r>
      <w:r w:rsidRPr="008A4DCE">
        <w:rPr>
          <w:rFonts w:ascii="Arial" w:hAnsi="Arial" w:hint="cs"/>
          <w:b/>
          <w:bCs/>
          <w:sz w:val="26"/>
          <w:szCs w:val="26"/>
          <w:rtl/>
        </w:rPr>
        <w:t>עת דינו של בית-משפט קמא</w:t>
      </w:r>
      <w:r>
        <w:rPr>
          <w:rFonts w:ascii="Arial" w:hAnsi="Arial" w:hint="cs"/>
          <w:sz w:val="26"/>
          <w:szCs w:val="26"/>
          <w:rtl/>
        </w:rPr>
        <w:t>...".</w:t>
      </w:r>
    </w:p>
    <w:p w:rsidR="008544D5" w:rsidRDefault="008544D5" w:rsidP="00BC769D">
      <w:pPr>
        <w:spacing w:line="360" w:lineRule="auto"/>
        <w:jc w:val="both"/>
        <w:rPr>
          <w:rFonts w:ascii="Arial" w:hAnsi="Arial"/>
          <w:b/>
          <w:bCs/>
          <w:sz w:val="26"/>
          <w:szCs w:val="26"/>
          <w:rtl/>
        </w:rPr>
      </w:pPr>
    </w:p>
    <w:p w:rsidR="00507694" w:rsidRPr="004F0102" w:rsidRDefault="00BC769D" w:rsidP="00BC769D">
      <w:pPr>
        <w:spacing w:line="360" w:lineRule="auto"/>
        <w:jc w:val="both"/>
        <w:rPr>
          <w:rFonts w:ascii="Arial" w:hAnsi="Arial"/>
          <w:b/>
          <w:bCs/>
          <w:sz w:val="26"/>
          <w:szCs w:val="26"/>
          <w:rtl/>
        </w:rPr>
      </w:pPr>
      <w:r>
        <w:rPr>
          <w:rFonts w:ascii="Arial" w:hAnsi="Arial" w:hint="cs"/>
          <w:b/>
          <w:bCs/>
          <w:sz w:val="26"/>
          <w:szCs w:val="26"/>
          <w:rtl/>
        </w:rPr>
        <w:t xml:space="preserve">שנית, </w:t>
      </w:r>
      <w:r>
        <w:rPr>
          <w:rFonts w:ascii="Arial" w:hAnsi="Arial" w:hint="cs"/>
          <w:sz w:val="26"/>
          <w:szCs w:val="26"/>
          <w:rtl/>
        </w:rPr>
        <w:t xml:space="preserve">זהו קצין משטרה </w:t>
      </w:r>
      <w:r w:rsidRPr="004F0102">
        <w:rPr>
          <w:rFonts w:ascii="Arial" w:hAnsi="Arial" w:hint="cs"/>
          <w:b/>
          <w:bCs/>
          <w:sz w:val="26"/>
          <w:szCs w:val="26"/>
          <w:rtl/>
        </w:rPr>
        <w:t>מצטיין</w:t>
      </w:r>
      <w:r>
        <w:rPr>
          <w:rFonts w:ascii="Arial" w:hAnsi="Arial" w:hint="cs"/>
          <w:sz w:val="26"/>
          <w:szCs w:val="26"/>
          <w:rtl/>
        </w:rPr>
        <w:t>, רב זכויות, אשר פעל ופועל שנים רבות</w:t>
      </w:r>
      <w:r w:rsidR="003C04C6">
        <w:rPr>
          <w:rFonts w:ascii="Arial" w:hAnsi="Arial" w:hint="cs"/>
          <w:sz w:val="26"/>
          <w:szCs w:val="26"/>
          <w:rtl/>
        </w:rPr>
        <w:t>, לילות כימים,</w:t>
      </w:r>
      <w:r>
        <w:rPr>
          <w:rFonts w:ascii="Arial" w:hAnsi="Arial" w:hint="cs"/>
          <w:sz w:val="26"/>
          <w:szCs w:val="26"/>
          <w:rtl/>
        </w:rPr>
        <w:t xml:space="preserve"> לשמירה על הסדר הציבורי, לטובת החברה, ואני סבור, כי </w:t>
      </w:r>
      <w:r w:rsidRPr="004F0102">
        <w:rPr>
          <w:rFonts w:ascii="Arial" w:hAnsi="Arial" w:hint="cs"/>
          <w:b/>
          <w:bCs/>
          <w:sz w:val="26"/>
          <w:szCs w:val="26"/>
          <w:rtl/>
        </w:rPr>
        <w:t xml:space="preserve">ביום פקודה, חייבת החברה לזכור לו את שלל זכויותיו ולשפוט את מעשיו על דרך ההקלה. </w:t>
      </w:r>
    </w:p>
    <w:p w:rsidR="00BC769D" w:rsidRDefault="00BC769D" w:rsidP="00BC769D">
      <w:pPr>
        <w:spacing w:line="360" w:lineRule="auto"/>
        <w:jc w:val="both"/>
        <w:rPr>
          <w:rFonts w:ascii="Arial" w:hAnsi="Arial"/>
          <w:sz w:val="26"/>
          <w:szCs w:val="26"/>
          <w:rtl/>
        </w:rPr>
      </w:pPr>
    </w:p>
    <w:p w:rsidR="00BC769D" w:rsidRDefault="00BC769D" w:rsidP="00BC769D">
      <w:pPr>
        <w:spacing w:line="360" w:lineRule="auto"/>
        <w:jc w:val="both"/>
        <w:rPr>
          <w:rFonts w:ascii="Arial" w:hAnsi="Arial"/>
          <w:sz w:val="26"/>
          <w:szCs w:val="26"/>
          <w:rtl/>
        </w:rPr>
      </w:pPr>
      <w:r>
        <w:rPr>
          <w:rFonts w:ascii="Arial" w:hAnsi="Arial" w:hint="cs"/>
          <w:sz w:val="26"/>
          <w:szCs w:val="26"/>
          <w:rtl/>
        </w:rPr>
        <w:t>ואכן, עיון בסקירת השירות של הנאשם (במ/2</w:t>
      </w:r>
      <w:r w:rsidR="003C04C6">
        <w:rPr>
          <w:rFonts w:ascii="Arial" w:hAnsi="Arial" w:hint="cs"/>
          <w:sz w:val="26"/>
          <w:szCs w:val="26"/>
          <w:rtl/>
        </w:rPr>
        <w:t xml:space="preserve">) מלמד, כי הוא סיים קורס קצינים פיקודי בהצטיינות, וההערות הפיקודיות </w:t>
      </w:r>
      <w:r w:rsidR="004F0102">
        <w:rPr>
          <w:rFonts w:ascii="Arial" w:hAnsi="Arial" w:hint="cs"/>
          <w:sz w:val="26"/>
          <w:szCs w:val="26"/>
          <w:rtl/>
        </w:rPr>
        <w:t xml:space="preserve">הבודדות </w:t>
      </w:r>
      <w:r w:rsidR="003C04C6">
        <w:rPr>
          <w:rFonts w:ascii="Arial" w:hAnsi="Arial" w:hint="cs"/>
          <w:sz w:val="26"/>
          <w:szCs w:val="26"/>
          <w:rtl/>
        </w:rPr>
        <w:t>שניתנו לו מדברות בעד עצמן: "</w:t>
      </w:r>
      <w:r w:rsidR="003C04C6" w:rsidRPr="004F0102">
        <w:rPr>
          <w:rFonts w:ascii="Arial" w:hAnsi="Arial" w:hint="cs"/>
          <w:b/>
          <w:bCs/>
          <w:sz w:val="26"/>
          <w:szCs w:val="26"/>
          <w:rtl/>
        </w:rPr>
        <w:t xml:space="preserve">לשיפור </w:t>
      </w:r>
      <w:r w:rsidR="003C04C6" w:rsidRPr="004F0102">
        <w:rPr>
          <w:rFonts w:ascii="Arial" w:hAnsi="Arial"/>
          <w:b/>
          <w:bCs/>
          <w:sz w:val="26"/>
          <w:szCs w:val="26"/>
          <w:rtl/>
        </w:rPr>
        <w:t>–</w:t>
      </w:r>
      <w:r w:rsidR="003C04C6" w:rsidRPr="004F0102">
        <w:rPr>
          <w:rFonts w:ascii="Arial" w:hAnsi="Arial" w:hint="cs"/>
          <w:b/>
          <w:bCs/>
          <w:sz w:val="26"/>
          <w:szCs w:val="26"/>
          <w:rtl/>
        </w:rPr>
        <w:t xml:space="preserve"> איזון בית עבודה</w:t>
      </w:r>
      <w:r w:rsidR="003C04C6">
        <w:rPr>
          <w:rFonts w:ascii="Arial" w:hAnsi="Arial" w:hint="cs"/>
          <w:sz w:val="26"/>
          <w:szCs w:val="26"/>
          <w:rtl/>
        </w:rPr>
        <w:t>".</w:t>
      </w:r>
    </w:p>
    <w:p w:rsidR="003C04C6" w:rsidRDefault="003C04C6" w:rsidP="00BC769D">
      <w:pPr>
        <w:spacing w:line="360" w:lineRule="auto"/>
        <w:jc w:val="both"/>
        <w:rPr>
          <w:rFonts w:ascii="Arial" w:hAnsi="Arial"/>
          <w:sz w:val="26"/>
          <w:szCs w:val="26"/>
          <w:rtl/>
        </w:rPr>
      </w:pPr>
    </w:p>
    <w:p w:rsidR="003C04C6" w:rsidRDefault="003C04C6" w:rsidP="00BC769D">
      <w:pPr>
        <w:spacing w:line="360" w:lineRule="auto"/>
        <w:jc w:val="both"/>
        <w:rPr>
          <w:rFonts w:ascii="Arial" w:hAnsi="Arial"/>
          <w:sz w:val="26"/>
          <w:szCs w:val="26"/>
          <w:rtl/>
        </w:rPr>
      </w:pPr>
      <w:r>
        <w:rPr>
          <w:rFonts w:ascii="Arial" w:hAnsi="Arial" w:hint="cs"/>
          <w:sz w:val="26"/>
          <w:szCs w:val="26"/>
          <w:rtl/>
        </w:rPr>
        <w:lastRenderedPageBreak/>
        <w:t xml:space="preserve">הנאשם פעל בשנים האחרונות </w:t>
      </w:r>
      <w:r w:rsidRPr="004F0102">
        <w:rPr>
          <w:rFonts w:ascii="Arial" w:hAnsi="Arial" w:hint="cs"/>
          <w:b/>
          <w:bCs/>
          <w:sz w:val="26"/>
          <w:szCs w:val="26"/>
          <w:rtl/>
        </w:rPr>
        <w:t>באחת הזירות העמוסות והמורכבות</w:t>
      </w:r>
      <w:r>
        <w:rPr>
          <w:rFonts w:ascii="Arial" w:hAnsi="Arial" w:hint="cs"/>
          <w:sz w:val="26"/>
          <w:szCs w:val="26"/>
          <w:rtl/>
        </w:rPr>
        <w:t xml:space="preserve"> </w:t>
      </w:r>
      <w:r w:rsidRPr="004F0102">
        <w:rPr>
          <w:rFonts w:ascii="Arial" w:hAnsi="Arial" w:hint="cs"/>
          <w:b/>
          <w:bCs/>
          <w:sz w:val="26"/>
          <w:szCs w:val="26"/>
          <w:rtl/>
        </w:rPr>
        <w:t>ביותר לפיקוד</w:t>
      </w:r>
      <w:r>
        <w:rPr>
          <w:rFonts w:ascii="Arial" w:hAnsi="Arial" w:hint="cs"/>
          <w:sz w:val="26"/>
          <w:szCs w:val="26"/>
          <w:rtl/>
        </w:rPr>
        <w:t xml:space="preserve">, עשה זאת בהצלחה וניכר, כי האירוע שבגינו הורשע </w:t>
      </w:r>
      <w:r w:rsidRPr="004F0102">
        <w:rPr>
          <w:rFonts w:ascii="Arial" w:hAnsi="Arial" w:hint="cs"/>
          <w:b/>
          <w:bCs/>
          <w:sz w:val="26"/>
          <w:szCs w:val="26"/>
          <w:rtl/>
        </w:rPr>
        <w:t>חריג ביותר להתנהלותו</w:t>
      </w:r>
      <w:r>
        <w:rPr>
          <w:rFonts w:ascii="Arial" w:hAnsi="Arial" w:hint="cs"/>
          <w:sz w:val="26"/>
          <w:szCs w:val="26"/>
          <w:rtl/>
        </w:rPr>
        <w:t>. מאז ועד היום לא נשנה אירוע חריג שכזה.</w:t>
      </w:r>
    </w:p>
    <w:p w:rsidR="003C04C6" w:rsidRDefault="003C04C6" w:rsidP="00BC769D">
      <w:pPr>
        <w:spacing w:line="360" w:lineRule="auto"/>
        <w:jc w:val="both"/>
        <w:rPr>
          <w:rFonts w:ascii="Arial" w:hAnsi="Arial"/>
          <w:sz w:val="26"/>
          <w:szCs w:val="26"/>
          <w:rtl/>
        </w:rPr>
      </w:pPr>
    </w:p>
    <w:p w:rsidR="003C04C6" w:rsidRDefault="003C04C6" w:rsidP="00382E77">
      <w:pPr>
        <w:spacing w:line="360" w:lineRule="auto"/>
        <w:jc w:val="both"/>
        <w:rPr>
          <w:rFonts w:ascii="Arial" w:hAnsi="Arial"/>
          <w:sz w:val="26"/>
          <w:szCs w:val="26"/>
          <w:rtl/>
        </w:rPr>
      </w:pPr>
      <w:r>
        <w:rPr>
          <w:rFonts w:ascii="Arial" w:hAnsi="Arial" w:hint="cs"/>
          <w:sz w:val="26"/>
          <w:szCs w:val="26"/>
          <w:rtl/>
        </w:rPr>
        <w:t xml:space="preserve">עיון במסמך עדות אופי שמסר </w:t>
      </w:r>
      <w:r w:rsidRPr="004F0102">
        <w:rPr>
          <w:rFonts w:ascii="Arial" w:hAnsi="Arial" w:hint="cs"/>
          <w:b/>
          <w:bCs/>
          <w:sz w:val="26"/>
          <w:szCs w:val="26"/>
          <w:rtl/>
        </w:rPr>
        <w:t>המפכ"ל</w:t>
      </w:r>
      <w:r>
        <w:rPr>
          <w:rFonts w:ascii="Arial" w:hAnsi="Arial" w:hint="cs"/>
          <w:sz w:val="26"/>
          <w:szCs w:val="26"/>
          <w:rtl/>
        </w:rPr>
        <w:t xml:space="preserve"> רב ניצב יעקב שבתאי (במ/1) מלמד על פועלו רב השנים של הנאשם, כקצין מצטיין, אשר זכה לשבחים, ניחן בערכים גבוהים, בנועם הליכות, בעל שיקול דעת מקצועי, קור רוח, ואלו אפיינו אותו גם במצבי קיצון. במכתב, </w:t>
      </w:r>
      <w:r w:rsidR="00382E77">
        <w:rPr>
          <w:rFonts w:ascii="Arial" w:hAnsi="Arial" w:hint="cs"/>
          <w:sz w:val="26"/>
          <w:szCs w:val="26"/>
          <w:rtl/>
        </w:rPr>
        <w:t xml:space="preserve">הוצגו דוגמאות רבות כיצד פיקד הנאשם על השיטור בתקופת גל "טרור הסכינים", </w:t>
      </w:r>
      <w:r w:rsidR="00382E77" w:rsidRPr="004F0102">
        <w:rPr>
          <w:rFonts w:ascii="Arial" w:hAnsi="Arial" w:hint="cs"/>
          <w:b/>
          <w:bCs/>
          <w:sz w:val="26"/>
          <w:szCs w:val="26"/>
          <w:rtl/>
        </w:rPr>
        <w:t>סיכן את חייו סביב השעון</w:t>
      </w:r>
      <w:r w:rsidR="00382E77">
        <w:rPr>
          <w:rFonts w:ascii="Arial" w:hAnsi="Arial" w:hint="cs"/>
          <w:sz w:val="26"/>
          <w:szCs w:val="26"/>
          <w:rtl/>
        </w:rPr>
        <w:t xml:space="preserve">, בעצימות גבוהה תוך הצלת חיי אדם רבים. הוא הוגדר כ"מלח הארץ, </w:t>
      </w:r>
      <w:r w:rsidR="00382E77" w:rsidRPr="004F0102">
        <w:rPr>
          <w:rFonts w:ascii="Arial" w:hAnsi="Arial" w:hint="cs"/>
          <w:b/>
          <w:bCs/>
          <w:sz w:val="26"/>
          <w:szCs w:val="26"/>
          <w:rtl/>
        </w:rPr>
        <w:t>מהמובחרים שבחבורה</w:t>
      </w:r>
      <w:r w:rsidR="00382E77">
        <w:rPr>
          <w:rFonts w:ascii="Arial" w:hAnsi="Arial" w:hint="cs"/>
          <w:sz w:val="26"/>
          <w:szCs w:val="26"/>
          <w:rtl/>
        </w:rPr>
        <w:t xml:space="preserve">, אשר השקיע את מרבית חייו ומרצו למען ביטחון אזרחי ישראל...". </w:t>
      </w:r>
    </w:p>
    <w:p w:rsidR="00382E77" w:rsidRDefault="00382E77" w:rsidP="00382E77">
      <w:pPr>
        <w:spacing w:line="360" w:lineRule="auto"/>
        <w:jc w:val="both"/>
        <w:rPr>
          <w:rFonts w:ascii="Arial" w:hAnsi="Arial"/>
          <w:sz w:val="26"/>
          <w:szCs w:val="26"/>
          <w:rtl/>
        </w:rPr>
      </w:pPr>
    </w:p>
    <w:p w:rsidR="00382E77" w:rsidRDefault="00382E77" w:rsidP="00382E77">
      <w:pPr>
        <w:spacing w:line="360" w:lineRule="auto"/>
        <w:jc w:val="both"/>
        <w:rPr>
          <w:rFonts w:ascii="Arial" w:hAnsi="Arial"/>
          <w:sz w:val="26"/>
          <w:szCs w:val="26"/>
          <w:rtl/>
        </w:rPr>
      </w:pPr>
      <w:r>
        <w:rPr>
          <w:rFonts w:ascii="Arial" w:hAnsi="Arial" w:hint="cs"/>
          <w:sz w:val="26"/>
          <w:szCs w:val="26"/>
          <w:rtl/>
        </w:rPr>
        <w:t>ואכן, אני רואה עין בעין את עמדת המפכ"ל במכתבו, כי "על בית המשפט המכובד לשם לנגד עיניו את שירותו ותרומתו הביטחונית למדינת ישראל".</w:t>
      </w:r>
    </w:p>
    <w:p w:rsidR="00382E77" w:rsidRDefault="00382E77" w:rsidP="00382E77">
      <w:pPr>
        <w:spacing w:line="360" w:lineRule="auto"/>
        <w:jc w:val="both"/>
        <w:rPr>
          <w:rFonts w:ascii="Arial" w:hAnsi="Arial"/>
          <w:sz w:val="26"/>
          <w:szCs w:val="26"/>
          <w:rtl/>
        </w:rPr>
      </w:pPr>
    </w:p>
    <w:p w:rsidR="00382E77" w:rsidRDefault="00382E77" w:rsidP="00382E77">
      <w:pPr>
        <w:spacing w:line="360" w:lineRule="auto"/>
        <w:jc w:val="both"/>
        <w:rPr>
          <w:rFonts w:ascii="Arial" w:hAnsi="Arial"/>
          <w:sz w:val="26"/>
          <w:szCs w:val="26"/>
          <w:rtl/>
        </w:rPr>
      </w:pPr>
      <w:r>
        <w:rPr>
          <w:rFonts w:ascii="Arial" w:hAnsi="Arial" w:hint="cs"/>
          <w:b/>
          <w:bCs/>
          <w:sz w:val="26"/>
          <w:szCs w:val="26"/>
          <w:rtl/>
        </w:rPr>
        <w:t xml:space="preserve">שלישית, </w:t>
      </w:r>
      <w:r w:rsidR="00211E87">
        <w:rPr>
          <w:rFonts w:ascii="Arial" w:hAnsi="Arial" w:hint="cs"/>
          <w:sz w:val="26"/>
          <w:szCs w:val="26"/>
          <w:rtl/>
        </w:rPr>
        <w:t xml:space="preserve">אם ההרשעה תיוותר על כנה, קיימת סבירות, שלפיה יתרחש נזק קונקרטי, בלתי סביר, </w:t>
      </w:r>
      <w:r w:rsidR="00B9559C">
        <w:rPr>
          <w:rFonts w:ascii="Arial" w:hAnsi="Arial" w:hint="cs"/>
          <w:sz w:val="26"/>
          <w:szCs w:val="26"/>
          <w:rtl/>
        </w:rPr>
        <w:t>בדמות פיטוריו של קצין מצטיין זה, או עיכוב נוסף של קידומו, שיתווסף על עיכוב הקידום רב השנים שהיה מנת חלקו מאז הפרשה.</w:t>
      </w:r>
    </w:p>
    <w:p w:rsidR="00B9559C" w:rsidRDefault="00B9559C" w:rsidP="00382E77">
      <w:pPr>
        <w:spacing w:line="360" w:lineRule="auto"/>
        <w:jc w:val="both"/>
        <w:rPr>
          <w:rFonts w:ascii="Arial" w:hAnsi="Arial"/>
          <w:sz w:val="26"/>
          <w:szCs w:val="26"/>
          <w:rtl/>
        </w:rPr>
      </w:pPr>
    </w:p>
    <w:p w:rsidR="00B9559C" w:rsidRDefault="00B9559C" w:rsidP="00382E77">
      <w:pPr>
        <w:spacing w:line="360" w:lineRule="auto"/>
        <w:jc w:val="both"/>
        <w:rPr>
          <w:rFonts w:ascii="Arial" w:hAnsi="Arial"/>
          <w:sz w:val="26"/>
          <w:szCs w:val="26"/>
          <w:rtl/>
        </w:rPr>
      </w:pPr>
      <w:r>
        <w:rPr>
          <w:rFonts w:ascii="Arial" w:hAnsi="Arial" w:hint="cs"/>
          <w:sz w:val="26"/>
          <w:szCs w:val="26"/>
          <w:rtl/>
        </w:rPr>
        <w:t>במה דברים אמורים:</w:t>
      </w:r>
    </w:p>
    <w:p w:rsidR="00B9559C" w:rsidRDefault="00B9559C" w:rsidP="00382E77">
      <w:pPr>
        <w:spacing w:line="360" w:lineRule="auto"/>
        <w:jc w:val="both"/>
        <w:rPr>
          <w:rFonts w:ascii="Arial" w:hAnsi="Arial"/>
          <w:sz w:val="26"/>
          <w:szCs w:val="26"/>
          <w:rtl/>
        </w:rPr>
      </w:pPr>
    </w:p>
    <w:p w:rsidR="00456677" w:rsidRDefault="00B9559C" w:rsidP="00382E77">
      <w:pPr>
        <w:spacing w:line="360" w:lineRule="auto"/>
        <w:jc w:val="both"/>
        <w:rPr>
          <w:rFonts w:ascii="Arial" w:hAnsi="Arial"/>
          <w:sz w:val="26"/>
          <w:szCs w:val="26"/>
          <w:rtl/>
        </w:rPr>
      </w:pPr>
      <w:r>
        <w:rPr>
          <w:rFonts w:ascii="Arial" w:hAnsi="Arial" w:hint="cs"/>
          <w:sz w:val="26"/>
          <w:szCs w:val="26"/>
          <w:rtl/>
        </w:rPr>
        <w:t xml:space="preserve">עיון בנוהל "גיוס, מינוי העלאה בדרגה ופרישה של קצונה בכירה במשטרת ישראל ובשירות בתי הסוהר" מספר 02.01.01 </w:t>
      </w:r>
      <w:r w:rsidR="00BD2AB8">
        <w:rPr>
          <w:rFonts w:ascii="Arial" w:hAnsi="Arial" w:hint="cs"/>
          <w:sz w:val="26"/>
          <w:szCs w:val="26"/>
          <w:rtl/>
        </w:rPr>
        <w:t xml:space="preserve">(במ/4) </w:t>
      </w:r>
      <w:r>
        <w:rPr>
          <w:rFonts w:ascii="Arial" w:hAnsi="Arial" w:hint="cs"/>
          <w:sz w:val="26"/>
          <w:szCs w:val="26"/>
          <w:rtl/>
        </w:rPr>
        <w:t>בסעיף 5 מלמד, כי "קצין לא יועלה בדרגה, לא ימונה למשרה בכירה...במקרים ובנסיבות הבאות: (1). נגד הקצין תלוי ועומד תיק וזאת עד לסיום ההליכים בתיק. (2). הקצין הורשע בעבירה שהעונש הקבוע לה בדין שנת מאסר ויותר, וטרם חלפו 5 שנים ממועד הרשעתו".</w:t>
      </w:r>
      <w:r w:rsidR="00456677">
        <w:rPr>
          <w:rFonts w:ascii="Arial" w:hAnsi="Arial" w:hint="cs"/>
          <w:sz w:val="26"/>
          <w:szCs w:val="26"/>
          <w:rtl/>
        </w:rPr>
        <w:t xml:space="preserve"> </w:t>
      </w:r>
    </w:p>
    <w:p w:rsidR="00456677" w:rsidRDefault="00456677" w:rsidP="00382E77">
      <w:pPr>
        <w:spacing w:line="360" w:lineRule="auto"/>
        <w:jc w:val="both"/>
        <w:rPr>
          <w:rFonts w:ascii="Arial" w:hAnsi="Arial"/>
          <w:sz w:val="26"/>
          <w:szCs w:val="26"/>
          <w:rtl/>
        </w:rPr>
      </w:pPr>
    </w:p>
    <w:p w:rsidR="00456677" w:rsidRDefault="00456677" w:rsidP="00382E77">
      <w:pPr>
        <w:spacing w:line="360" w:lineRule="auto"/>
        <w:jc w:val="both"/>
        <w:rPr>
          <w:rFonts w:ascii="Arial" w:hAnsi="Arial"/>
          <w:sz w:val="26"/>
          <w:szCs w:val="26"/>
          <w:rtl/>
        </w:rPr>
      </w:pPr>
      <w:r>
        <w:rPr>
          <w:rFonts w:ascii="Arial" w:hAnsi="Arial" w:hint="cs"/>
          <w:sz w:val="26"/>
          <w:szCs w:val="26"/>
          <w:rtl/>
        </w:rPr>
        <w:t xml:space="preserve">כלומר, </w:t>
      </w:r>
      <w:r w:rsidRPr="004F0102">
        <w:rPr>
          <w:rFonts w:ascii="Arial" w:hAnsi="Arial" w:hint="cs"/>
          <w:b/>
          <w:bCs/>
          <w:sz w:val="26"/>
          <w:szCs w:val="26"/>
          <w:rtl/>
        </w:rPr>
        <w:t>הנאשם מעוכב</w:t>
      </w:r>
      <w:r w:rsidR="00BD2AB8" w:rsidRPr="004F0102">
        <w:rPr>
          <w:rFonts w:ascii="Arial" w:hAnsi="Arial" w:hint="cs"/>
          <w:b/>
          <w:bCs/>
          <w:sz w:val="26"/>
          <w:szCs w:val="26"/>
          <w:rtl/>
        </w:rPr>
        <w:t xml:space="preserve"> קידום מאז האירוע</w:t>
      </w:r>
      <w:r w:rsidR="00BD2AB8">
        <w:rPr>
          <w:rFonts w:ascii="Arial" w:hAnsi="Arial" w:hint="cs"/>
          <w:sz w:val="26"/>
          <w:szCs w:val="26"/>
          <w:rtl/>
        </w:rPr>
        <w:t xml:space="preserve"> ולאחר סיום ההליך, עלול להיות מעוכב קידום למשך חמש שנים נוספות.</w:t>
      </w:r>
    </w:p>
    <w:p w:rsidR="00456677" w:rsidRDefault="00456677" w:rsidP="00382E77">
      <w:pPr>
        <w:spacing w:line="360" w:lineRule="auto"/>
        <w:jc w:val="both"/>
        <w:rPr>
          <w:rFonts w:ascii="Arial" w:hAnsi="Arial"/>
          <w:sz w:val="26"/>
          <w:szCs w:val="26"/>
          <w:rtl/>
        </w:rPr>
      </w:pPr>
    </w:p>
    <w:p w:rsidR="00B9559C" w:rsidRDefault="00456677" w:rsidP="00382E77">
      <w:pPr>
        <w:spacing w:line="360" w:lineRule="auto"/>
        <w:jc w:val="both"/>
        <w:rPr>
          <w:rFonts w:ascii="Arial" w:hAnsi="Arial"/>
          <w:sz w:val="26"/>
          <w:szCs w:val="26"/>
          <w:rtl/>
        </w:rPr>
      </w:pPr>
      <w:r>
        <w:rPr>
          <w:rFonts w:ascii="Arial" w:hAnsi="Arial" w:hint="cs"/>
          <w:sz w:val="26"/>
          <w:szCs w:val="26"/>
          <w:rtl/>
        </w:rPr>
        <w:t xml:space="preserve">אכן, בסעיף טו שהוא סעיף ההגדרות, נרשם: "לענין זה "הרשעה" </w:t>
      </w:r>
      <w:r>
        <w:rPr>
          <w:rFonts w:ascii="Arial" w:hAnsi="Arial"/>
          <w:sz w:val="26"/>
          <w:szCs w:val="26"/>
          <w:rtl/>
        </w:rPr>
        <w:t>–</w:t>
      </w:r>
      <w:r>
        <w:rPr>
          <w:rFonts w:ascii="Arial" w:hAnsi="Arial" w:hint="cs"/>
          <w:sz w:val="26"/>
          <w:szCs w:val="26"/>
          <w:rtl/>
        </w:rPr>
        <w:t xml:space="preserve"> לרבות קביעת בית המשפט שבוצעה עבירה ללא הרשעה על פי סעיף 192א לחוק סדר הדין הפלילי...".</w:t>
      </w:r>
      <w:r w:rsidR="00BD2AB8">
        <w:rPr>
          <w:rFonts w:ascii="Arial" w:hAnsi="Arial" w:hint="cs"/>
          <w:sz w:val="26"/>
          <w:szCs w:val="26"/>
          <w:rtl/>
        </w:rPr>
        <w:t xml:space="preserve"> ואולם, </w:t>
      </w:r>
      <w:r w:rsidR="00BD2AB8">
        <w:rPr>
          <w:rFonts w:ascii="Arial" w:hAnsi="Arial" w:hint="cs"/>
          <w:sz w:val="26"/>
          <w:szCs w:val="26"/>
          <w:rtl/>
        </w:rPr>
        <w:lastRenderedPageBreak/>
        <w:t>כידוע, מדובר בהחלטה הנתונה לשיקול דעת הקצין הממונה ועדיין קיים הבדל משמעותי בין הותרת ההרשעה על כנה לבין ביטולה, משום שהקצין המחליט וודאי יביא בחשבון במסגרת כלל שיקוליו את גזר-דין זה.</w:t>
      </w:r>
    </w:p>
    <w:p w:rsidR="007F2D1B" w:rsidRDefault="007F2D1B" w:rsidP="00382E77">
      <w:pPr>
        <w:spacing w:line="360" w:lineRule="auto"/>
        <w:jc w:val="both"/>
        <w:rPr>
          <w:rFonts w:ascii="Arial" w:hAnsi="Arial"/>
          <w:sz w:val="26"/>
          <w:szCs w:val="26"/>
          <w:rtl/>
        </w:rPr>
      </w:pPr>
    </w:p>
    <w:p w:rsidR="007F2D1B" w:rsidRDefault="007F2D1B" w:rsidP="00382E77">
      <w:pPr>
        <w:spacing w:line="360" w:lineRule="auto"/>
        <w:jc w:val="both"/>
        <w:rPr>
          <w:rFonts w:ascii="Arial" w:hAnsi="Arial"/>
          <w:sz w:val="26"/>
          <w:szCs w:val="26"/>
          <w:rtl/>
        </w:rPr>
      </w:pPr>
      <w:r>
        <w:rPr>
          <w:rFonts w:ascii="Arial" w:hAnsi="Arial" w:hint="cs"/>
          <w:sz w:val="26"/>
          <w:szCs w:val="26"/>
          <w:rtl/>
        </w:rPr>
        <w:t xml:space="preserve">ואכן, עיגון נוסף המוכיח את הנזק הקונקרטי, ניתן למצוא במסמך סיכום דיון תנועות מתאריך 28.2.21 </w:t>
      </w:r>
      <w:r w:rsidR="00E960C6">
        <w:rPr>
          <w:rFonts w:ascii="Arial" w:hAnsi="Arial" w:hint="cs"/>
          <w:sz w:val="26"/>
          <w:szCs w:val="26"/>
          <w:rtl/>
        </w:rPr>
        <w:t xml:space="preserve"> מאת ממ"ז ירושלים ניצב דורון תורג'מן </w:t>
      </w:r>
      <w:r>
        <w:rPr>
          <w:rFonts w:ascii="Arial" w:hAnsi="Arial" w:hint="cs"/>
          <w:sz w:val="26"/>
          <w:szCs w:val="26"/>
          <w:rtl/>
        </w:rPr>
        <w:t>(במ/3), המלמד, כיצד רואה משטרת ישראל את מצבו המשפטי של הנאשם, עת נרשם בו: "</w:t>
      </w:r>
      <w:r w:rsidRPr="004F0102">
        <w:rPr>
          <w:rFonts w:ascii="Arial" w:hAnsi="Arial" w:hint="cs"/>
          <w:b/>
          <w:bCs/>
          <w:sz w:val="26"/>
          <w:szCs w:val="26"/>
          <w:rtl/>
        </w:rPr>
        <w:t>בשל הליך משמעתי פתוח לא ניתן לדון בקצין במסלול קידום</w:t>
      </w:r>
      <w:r>
        <w:rPr>
          <w:rFonts w:ascii="Arial" w:hAnsi="Arial" w:hint="cs"/>
          <w:sz w:val="26"/>
          <w:szCs w:val="26"/>
          <w:rtl/>
        </w:rPr>
        <w:t>" והדברים מדברים בעד עצמם. ולא מיותר לציין את ההערה הבאה שמצאה מקומה באותו מסמך: "קצין מקצועי, אמיץ וערכי</w:t>
      </w:r>
      <w:r w:rsidR="00E960C6">
        <w:rPr>
          <w:rFonts w:ascii="Arial" w:hAnsi="Arial" w:hint="cs"/>
          <w:sz w:val="26"/>
          <w:szCs w:val="26"/>
          <w:rtl/>
        </w:rPr>
        <w:t xml:space="preserve"> בעל יכולות אישיות גבוהות, מפגין יכולת למידה מצוינת ומשקיע מאוד בביצוע תפקידו".</w:t>
      </w:r>
      <w:r w:rsidR="005B090D">
        <w:rPr>
          <w:rFonts w:ascii="Arial" w:hAnsi="Arial" w:hint="cs"/>
          <w:sz w:val="26"/>
          <w:szCs w:val="26"/>
          <w:rtl/>
        </w:rPr>
        <w:t xml:space="preserve"> בנוסף, אפנה לראייה הנוספת שהוגשה לאחר הטיעון לעונש התומכת במצב דברים זה.</w:t>
      </w:r>
    </w:p>
    <w:p w:rsidR="00E960C6" w:rsidRDefault="00E960C6" w:rsidP="00382E77">
      <w:pPr>
        <w:spacing w:line="360" w:lineRule="auto"/>
        <w:jc w:val="both"/>
        <w:rPr>
          <w:rFonts w:ascii="Arial" w:hAnsi="Arial"/>
          <w:sz w:val="26"/>
          <w:szCs w:val="26"/>
          <w:rtl/>
        </w:rPr>
      </w:pPr>
    </w:p>
    <w:p w:rsidR="00E960C6" w:rsidRPr="004F0102" w:rsidRDefault="00E960C6" w:rsidP="00382E77">
      <w:pPr>
        <w:spacing w:line="360" w:lineRule="auto"/>
        <w:jc w:val="both"/>
        <w:rPr>
          <w:rFonts w:ascii="Arial" w:hAnsi="Arial"/>
          <w:b/>
          <w:bCs/>
          <w:sz w:val="26"/>
          <w:szCs w:val="26"/>
          <w:rtl/>
        </w:rPr>
      </w:pPr>
      <w:r w:rsidRPr="004F0102">
        <w:rPr>
          <w:rFonts w:ascii="Arial" w:hAnsi="Arial" w:hint="cs"/>
          <w:b/>
          <w:bCs/>
          <w:sz w:val="26"/>
          <w:szCs w:val="26"/>
          <w:rtl/>
        </w:rPr>
        <w:t>אני סבור, כי עיכוב הדרגה של הנאשם, מאז האירוע, מכיל בחובו נזקים תדמיתיים, כלכליים ואישיים המהווים אלמנטים עונשיים בפני עצמם.</w:t>
      </w:r>
    </w:p>
    <w:p w:rsidR="00E960C6" w:rsidRDefault="00E960C6" w:rsidP="00382E77">
      <w:pPr>
        <w:spacing w:line="360" w:lineRule="auto"/>
        <w:jc w:val="both"/>
        <w:rPr>
          <w:rFonts w:ascii="Arial" w:hAnsi="Arial"/>
          <w:sz w:val="26"/>
          <w:szCs w:val="26"/>
          <w:rtl/>
        </w:rPr>
      </w:pPr>
    </w:p>
    <w:p w:rsidR="00E960C6" w:rsidRDefault="00E960C6" w:rsidP="00382E77">
      <w:pPr>
        <w:spacing w:line="360" w:lineRule="auto"/>
        <w:jc w:val="both"/>
        <w:rPr>
          <w:rFonts w:ascii="Arial" w:hAnsi="Arial"/>
          <w:sz w:val="26"/>
          <w:szCs w:val="26"/>
          <w:rtl/>
        </w:rPr>
      </w:pPr>
      <w:r>
        <w:rPr>
          <w:rFonts w:ascii="Arial" w:hAnsi="Arial" w:hint="cs"/>
          <w:sz w:val="26"/>
          <w:szCs w:val="26"/>
          <w:rtl/>
        </w:rPr>
        <w:t>קיים אינטר</w:t>
      </w:r>
      <w:r w:rsidR="00274550">
        <w:rPr>
          <w:rFonts w:ascii="Arial" w:hAnsi="Arial" w:hint="cs"/>
          <w:sz w:val="26"/>
          <w:szCs w:val="26"/>
          <w:rtl/>
        </w:rPr>
        <w:t xml:space="preserve">ס ציבורי רב חשיבות, שלפיו קצין מצטיין </w:t>
      </w:r>
      <w:r w:rsidR="004F0102">
        <w:rPr>
          <w:rFonts w:ascii="Arial" w:hAnsi="Arial" w:hint="cs"/>
          <w:sz w:val="26"/>
          <w:szCs w:val="26"/>
          <w:rtl/>
        </w:rPr>
        <w:t xml:space="preserve">רב זכויות </w:t>
      </w:r>
      <w:r w:rsidR="00274550">
        <w:rPr>
          <w:rFonts w:ascii="Arial" w:hAnsi="Arial" w:hint="cs"/>
          <w:sz w:val="26"/>
          <w:szCs w:val="26"/>
          <w:rtl/>
        </w:rPr>
        <w:t xml:space="preserve">זה, </w:t>
      </w:r>
      <w:r w:rsidR="00274550" w:rsidRPr="004F0102">
        <w:rPr>
          <w:rFonts w:ascii="Arial" w:hAnsi="Arial" w:hint="cs"/>
          <w:b/>
          <w:bCs/>
          <w:sz w:val="26"/>
          <w:szCs w:val="26"/>
          <w:rtl/>
        </w:rPr>
        <w:t>ימשיך לשרת את הציבור במסגרת תפקידו במשטרת ישראל,</w:t>
      </w:r>
      <w:r w:rsidR="00274550">
        <w:rPr>
          <w:rFonts w:ascii="Arial" w:hAnsi="Arial" w:hint="cs"/>
          <w:sz w:val="26"/>
          <w:szCs w:val="26"/>
          <w:rtl/>
        </w:rPr>
        <w:t xml:space="preserve"> כפי שהוא עשה עד היום.</w:t>
      </w:r>
    </w:p>
    <w:p w:rsidR="00274550" w:rsidRDefault="00274550" w:rsidP="00382E77">
      <w:pPr>
        <w:spacing w:line="360" w:lineRule="auto"/>
        <w:jc w:val="both"/>
        <w:rPr>
          <w:rFonts w:ascii="Arial" w:hAnsi="Arial"/>
          <w:sz w:val="26"/>
          <w:szCs w:val="26"/>
          <w:rtl/>
        </w:rPr>
      </w:pPr>
    </w:p>
    <w:p w:rsidR="00274550" w:rsidRDefault="00274550" w:rsidP="00382E77">
      <w:pPr>
        <w:spacing w:line="360" w:lineRule="auto"/>
        <w:jc w:val="both"/>
        <w:rPr>
          <w:rFonts w:ascii="Arial" w:hAnsi="Arial"/>
          <w:sz w:val="26"/>
          <w:szCs w:val="26"/>
          <w:rtl/>
        </w:rPr>
      </w:pPr>
      <w:r>
        <w:rPr>
          <w:rFonts w:ascii="Arial" w:hAnsi="Arial" w:hint="cs"/>
          <w:sz w:val="26"/>
          <w:szCs w:val="26"/>
          <w:rtl/>
        </w:rPr>
        <w:t>קיים חשש, שהותרת ההרשעה על כנה תפגע בהמשך שיקומו של הנאשם, במובן זה, שהוא יחדל מל</w:t>
      </w:r>
      <w:r w:rsidR="005F4D8A">
        <w:rPr>
          <w:rFonts w:ascii="Arial" w:hAnsi="Arial" w:hint="cs"/>
          <w:sz w:val="26"/>
          <w:szCs w:val="26"/>
          <w:rtl/>
        </w:rPr>
        <w:t>שמש בתפקידו או שעיכוב הדרגה המתמשך יוביל לכך שהוא יפרוש משורות המשטרה וגם החברה תצא נפסדת מכך.</w:t>
      </w:r>
    </w:p>
    <w:p w:rsidR="005B090D" w:rsidRDefault="005B090D" w:rsidP="00382E77">
      <w:pPr>
        <w:spacing w:line="360" w:lineRule="auto"/>
        <w:jc w:val="both"/>
        <w:rPr>
          <w:rFonts w:ascii="Arial" w:hAnsi="Arial"/>
          <w:sz w:val="26"/>
          <w:szCs w:val="26"/>
          <w:rtl/>
        </w:rPr>
      </w:pPr>
    </w:p>
    <w:p w:rsidR="005B090D" w:rsidRDefault="005B090D" w:rsidP="00382E77">
      <w:pPr>
        <w:spacing w:line="360" w:lineRule="auto"/>
        <w:jc w:val="both"/>
        <w:rPr>
          <w:rFonts w:ascii="Arial" w:hAnsi="Arial"/>
          <w:sz w:val="26"/>
          <w:szCs w:val="26"/>
          <w:rtl/>
        </w:rPr>
      </w:pPr>
      <w:r>
        <w:rPr>
          <w:rFonts w:ascii="Arial" w:hAnsi="Arial" w:hint="cs"/>
          <w:sz w:val="26"/>
          <w:szCs w:val="26"/>
          <w:rtl/>
        </w:rPr>
        <w:t>על כן, אני קובע שהותרת הרשעת הנאשם על כנה תוביל לחשש כי יתרחש לו נזק בלתי סביר ביחס לחומרת העבירה, ושוב מבלי להקל ראש בעובדות שבגינן הורשע.</w:t>
      </w:r>
    </w:p>
    <w:p w:rsidR="00E960C6" w:rsidRDefault="00E960C6" w:rsidP="00382E77">
      <w:pPr>
        <w:spacing w:line="360" w:lineRule="auto"/>
        <w:jc w:val="both"/>
        <w:rPr>
          <w:rFonts w:ascii="Arial" w:hAnsi="Arial"/>
          <w:sz w:val="26"/>
          <w:szCs w:val="26"/>
          <w:rtl/>
        </w:rPr>
      </w:pPr>
    </w:p>
    <w:p w:rsidR="00E960C6" w:rsidRDefault="00E960C6" w:rsidP="00382E77">
      <w:pPr>
        <w:spacing w:line="360" w:lineRule="auto"/>
        <w:jc w:val="both"/>
        <w:rPr>
          <w:rFonts w:ascii="Arial" w:hAnsi="Arial"/>
          <w:sz w:val="26"/>
          <w:szCs w:val="26"/>
          <w:rtl/>
        </w:rPr>
      </w:pPr>
      <w:r>
        <w:rPr>
          <w:rFonts w:ascii="Arial" w:hAnsi="Arial" w:hint="cs"/>
          <w:b/>
          <w:bCs/>
          <w:sz w:val="26"/>
          <w:szCs w:val="26"/>
          <w:rtl/>
        </w:rPr>
        <w:t xml:space="preserve">רביעית, </w:t>
      </w:r>
      <w:r>
        <w:rPr>
          <w:rFonts w:ascii="Arial" w:hAnsi="Arial" w:hint="cs"/>
          <w:sz w:val="26"/>
          <w:szCs w:val="26"/>
          <w:rtl/>
        </w:rPr>
        <w:t xml:space="preserve">הוצגו בפניי נסיבות חייו של הנאשם, קצין מצטיין, משרת במשטרת ישראל מאז שנת 1997, בעל משפחה, </w:t>
      </w:r>
      <w:r w:rsidR="00274550">
        <w:rPr>
          <w:rFonts w:ascii="Arial" w:hAnsi="Arial" w:hint="cs"/>
          <w:sz w:val="26"/>
          <w:szCs w:val="26"/>
          <w:rtl/>
        </w:rPr>
        <w:t xml:space="preserve">אב לילדים, </w:t>
      </w:r>
      <w:r>
        <w:rPr>
          <w:rFonts w:ascii="Arial" w:hAnsi="Arial" w:hint="cs"/>
          <w:sz w:val="26"/>
          <w:szCs w:val="26"/>
          <w:rtl/>
        </w:rPr>
        <w:t xml:space="preserve">נעדר כל עבר פלילי או משמעתי לפני האירוע ולאחריו. </w:t>
      </w:r>
      <w:r w:rsidR="00274550">
        <w:rPr>
          <w:rFonts w:ascii="Arial" w:hAnsi="Arial" w:hint="cs"/>
          <w:sz w:val="26"/>
          <w:szCs w:val="26"/>
          <w:rtl/>
        </w:rPr>
        <w:t>איני רושם לחובתו את העובדה שניהל משפט, שהרי בסופו של יום זוכה מן האירוע הראשון</w:t>
      </w:r>
      <w:r w:rsidR="008544D5">
        <w:rPr>
          <w:rFonts w:ascii="Arial" w:hAnsi="Arial" w:hint="cs"/>
          <w:sz w:val="26"/>
          <w:szCs w:val="26"/>
          <w:rtl/>
        </w:rPr>
        <w:t>, רוכך האירוע השני</w:t>
      </w:r>
      <w:r w:rsidR="00274550">
        <w:rPr>
          <w:rFonts w:ascii="Arial" w:hAnsi="Arial" w:hint="cs"/>
          <w:sz w:val="26"/>
          <w:szCs w:val="26"/>
          <w:rtl/>
        </w:rPr>
        <w:t xml:space="preserve"> ולא היה זה ניהול משפט לחינם.</w:t>
      </w:r>
    </w:p>
    <w:p w:rsidR="00E960C6" w:rsidRDefault="00E960C6" w:rsidP="00382E77">
      <w:pPr>
        <w:spacing w:line="360" w:lineRule="auto"/>
        <w:jc w:val="both"/>
        <w:rPr>
          <w:rFonts w:ascii="Arial" w:hAnsi="Arial"/>
          <w:sz w:val="26"/>
          <w:szCs w:val="26"/>
          <w:rtl/>
        </w:rPr>
      </w:pPr>
    </w:p>
    <w:p w:rsidR="00E960C6" w:rsidRDefault="00E960C6" w:rsidP="00382E77">
      <w:pPr>
        <w:spacing w:line="360" w:lineRule="auto"/>
        <w:jc w:val="both"/>
        <w:rPr>
          <w:rFonts w:ascii="Arial" w:hAnsi="Arial"/>
          <w:sz w:val="26"/>
          <w:szCs w:val="26"/>
          <w:rtl/>
        </w:rPr>
      </w:pPr>
      <w:r>
        <w:rPr>
          <w:rFonts w:ascii="Arial" w:hAnsi="Arial" w:hint="cs"/>
          <w:b/>
          <w:bCs/>
          <w:sz w:val="26"/>
          <w:szCs w:val="26"/>
          <w:rtl/>
        </w:rPr>
        <w:lastRenderedPageBreak/>
        <w:t xml:space="preserve">חמישית, </w:t>
      </w:r>
      <w:r w:rsidR="00274550">
        <w:rPr>
          <w:rFonts w:ascii="Arial" w:hAnsi="Arial" w:hint="cs"/>
          <w:sz w:val="26"/>
          <w:szCs w:val="26"/>
          <w:rtl/>
        </w:rPr>
        <w:t>התרשמתי, כי הנאשם מצטער מאוד על המעשה, הוא הביע סליחה ויש להניח כי מעשה שכזה לא ישוב על עצמו, באופן המחייב ענישה שבכוחה להרתיעו.</w:t>
      </w:r>
    </w:p>
    <w:p w:rsidR="00274550" w:rsidRDefault="00274550" w:rsidP="00382E77">
      <w:pPr>
        <w:spacing w:line="360" w:lineRule="auto"/>
        <w:jc w:val="both"/>
        <w:rPr>
          <w:rFonts w:ascii="Arial" w:hAnsi="Arial"/>
          <w:sz w:val="26"/>
          <w:szCs w:val="26"/>
          <w:rtl/>
        </w:rPr>
      </w:pPr>
    </w:p>
    <w:p w:rsidR="00274550" w:rsidRDefault="00ED6868" w:rsidP="00382E77">
      <w:pPr>
        <w:spacing w:line="360" w:lineRule="auto"/>
        <w:jc w:val="both"/>
        <w:rPr>
          <w:rFonts w:ascii="Arial" w:hAnsi="Arial"/>
          <w:sz w:val="26"/>
          <w:szCs w:val="26"/>
          <w:rtl/>
        </w:rPr>
      </w:pPr>
      <w:r>
        <w:rPr>
          <w:rFonts w:ascii="Arial" w:hAnsi="Arial" w:hint="cs"/>
          <w:b/>
          <w:bCs/>
          <w:sz w:val="26"/>
          <w:szCs w:val="26"/>
          <w:rtl/>
        </w:rPr>
        <w:t>שישית</w:t>
      </w:r>
      <w:r w:rsidR="00274550">
        <w:rPr>
          <w:rFonts w:ascii="Arial" w:hAnsi="Arial" w:hint="cs"/>
          <w:b/>
          <w:bCs/>
          <w:sz w:val="26"/>
          <w:szCs w:val="26"/>
          <w:rtl/>
        </w:rPr>
        <w:t xml:space="preserve">, </w:t>
      </w:r>
      <w:r w:rsidR="00274550">
        <w:rPr>
          <w:rFonts w:ascii="Arial" w:hAnsi="Arial" w:hint="cs"/>
          <w:sz w:val="26"/>
          <w:szCs w:val="26"/>
          <w:rtl/>
        </w:rPr>
        <w:t>עיון בפסיקת בתי-המשפט מלמד על מקרים רבים שבהם התקבלה החלטה לבטל את ההרשעה, אף ביחס לנאשם בגיר, תוך חריגה מן הכלל בדבר הרשעה.</w:t>
      </w:r>
    </w:p>
    <w:p w:rsidR="00937343" w:rsidRDefault="00937343" w:rsidP="00382E77">
      <w:pPr>
        <w:spacing w:line="360" w:lineRule="auto"/>
        <w:jc w:val="both"/>
        <w:rPr>
          <w:rFonts w:ascii="Arial" w:hAnsi="Arial"/>
          <w:sz w:val="26"/>
          <w:szCs w:val="26"/>
          <w:rtl/>
        </w:rPr>
      </w:pPr>
    </w:p>
    <w:p w:rsidR="00ED6868" w:rsidRPr="003074E5" w:rsidRDefault="0089634C" w:rsidP="00382E77">
      <w:pPr>
        <w:spacing w:line="360" w:lineRule="auto"/>
        <w:jc w:val="both"/>
        <w:rPr>
          <w:rFonts w:ascii="Arial" w:hAnsi="Arial"/>
          <w:b/>
          <w:bCs/>
          <w:sz w:val="26"/>
          <w:szCs w:val="26"/>
          <w:rtl/>
        </w:rPr>
      </w:pPr>
      <w:r>
        <w:rPr>
          <w:rFonts w:ascii="Arial" w:hAnsi="Arial" w:hint="cs"/>
          <w:sz w:val="26"/>
          <w:szCs w:val="26"/>
          <w:rtl/>
        </w:rPr>
        <w:t xml:space="preserve">אפנה </w:t>
      </w:r>
      <w:r w:rsidR="00ED6868">
        <w:rPr>
          <w:rFonts w:ascii="Arial" w:hAnsi="Arial" w:hint="cs"/>
          <w:sz w:val="26"/>
          <w:szCs w:val="26"/>
          <w:rtl/>
        </w:rPr>
        <w:t xml:space="preserve">לעפ"ג 28162-04-10 (מחוזי באר שבע) </w:t>
      </w:r>
      <w:r w:rsidR="00ED6868" w:rsidRPr="00ED6868">
        <w:rPr>
          <w:rFonts w:ascii="Arial" w:hAnsi="Arial" w:hint="cs"/>
          <w:b/>
          <w:bCs/>
          <w:sz w:val="26"/>
          <w:szCs w:val="26"/>
          <w:rtl/>
        </w:rPr>
        <w:t>בלקר נגד מדינת ישראל</w:t>
      </w:r>
      <w:r w:rsidR="00ED6868">
        <w:rPr>
          <w:rFonts w:ascii="Arial" w:hAnsi="Arial" w:hint="cs"/>
          <w:sz w:val="26"/>
          <w:szCs w:val="26"/>
          <w:rtl/>
        </w:rPr>
        <w:t xml:space="preserve"> (8.12.10), שם נדון עניינו של שוטר תנועה אשר הורשע בעבירה של תקיפה הגורמת חבלה של ממש, טלטל נהג, הכה בו במכת אגרוף באוזנו, תפס בזרועו, עיקם אותה, חנק אותו וגרם לו לדימומים. בית-המשפט המחוזי סקר את </w:t>
      </w:r>
      <w:r w:rsidR="00937343">
        <w:rPr>
          <w:rFonts w:ascii="Arial" w:hAnsi="Arial" w:hint="cs"/>
          <w:sz w:val="26"/>
          <w:szCs w:val="26"/>
          <w:rtl/>
        </w:rPr>
        <w:t xml:space="preserve">הסיטואציה התובענית שברקע המעשה, את </w:t>
      </w:r>
      <w:r w:rsidR="00ED6868">
        <w:rPr>
          <w:rFonts w:ascii="Arial" w:hAnsi="Arial" w:hint="cs"/>
          <w:sz w:val="26"/>
          <w:szCs w:val="26"/>
          <w:rtl/>
        </w:rPr>
        <w:t xml:space="preserve">עבודתו של השוטר במשטרת ישראל, את השירות המסור, ללא דופי, בחירתו לשוטר מצטיין, את חלוף הזמן, את העובדה שהעבירה הייתה חריגה להתנהלותו, את החשש מפני פיטוריו, </w:t>
      </w:r>
      <w:r w:rsidR="00937343">
        <w:rPr>
          <w:rFonts w:ascii="Arial" w:hAnsi="Arial" w:hint="cs"/>
          <w:sz w:val="26"/>
          <w:szCs w:val="26"/>
          <w:rtl/>
        </w:rPr>
        <w:t xml:space="preserve">את עצירת קידומו, </w:t>
      </w:r>
      <w:r w:rsidR="00937343" w:rsidRPr="003074E5">
        <w:rPr>
          <w:rFonts w:ascii="Arial" w:hAnsi="Arial" w:hint="cs"/>
          <w:b/>
          <w:bCs/>
          <w:sz w:val="26"/>
          <w:szCs w:val="26"/>
          <w:rtl/>
        </w:rPr>
        <w:t>ובדעת רוב הורה על ביטול ההרשעה.</w:t>
      </w:r>
    </w:p>
    <w:p w:rsidR="0089634C" w:rsidRDefault="0089634C" w:rsidP="00382E77">
      <w:pPr>
        <w:spacing w:line="360" w:lineRule="auto"/>
        <w:jc w:val="both"/>
        <w:rPr>
          <w:rFonts w:ascii="Arial" w:hAnsi="Arial"/>
          <w:sz w:val="26"/>
          <w:szCs w:val="26"/>
          <w:rtl/>
        </w:rPr>
      </w:pPr>
    </w:p>
    <w:p w:rsidR="0089634C" w:rsidRPr="00DB5061" w:rsidRDefault="0089634C" w:rsidP="00382E77">
      <w:pPr>
        <w:spacing w:line="360" w:lineRule="auto"/>
        <w:jc w:val="both"/>
        <w:rPr>
          <w:rFonts w:ascii="Arial" w:hAnsi="Arial"/>
          <w:sz w:val="26"/>
          <w:szCs w:val="26"/>
          <w:rtl/>
        </w:rPr>
      </w:pPr>
      <w:r>
        <w:rPr>
          <w:rFonts w:ascii="Arial" w:hAnsi="Arial" w:hint="cs"/>
          <w:sz w:val="26"/>
          <w:szCs w:val="26"/>
          <w:rtl/>
        </w:rPr>
        <w:t>עוד אפנה לשורת גזרי-דין של בתי-משפט השלום לסוגיהם, במקרים דומים שאותם הגיש הנאשם בטיעוניו</w:t>
      </w:r>
      <w:r w:rsidR="008544D5">
        <w:rPr>
          <w:rFonts w:ascii="Arial" w:hAnsi="Arial" w:hint="cs"/>
          <w:sz w:val="26"/>
          <w:szCs w:val="26"/>
          <w:rtl/>
        </w:rPr>
        <w:t xml:space="preserve"> (ת"פ 21305-02-18 </w:t>
      </w:r>
      <w:r w:rsidR="008544D5" w:rsidRPr="00DB5061">
        <w:rPr>
          <w:rFonts w:ascii="Arial" w:hAnsi="Arial" w:hint="cs"/>
          <w:b/>
          <w:bCs/>
          <w:sz w:val="26"/>
          <w:szCs w:val="26"/>
          <w:rtl/>
        </w:rPr>
        <w:t>מח"ש נגד קציר</w:t>
      </w:r>
      <w:r w:rsidR="008544D5">
        <w:rPr>
          <w:rFonts w:ascii="Arial" w:hAnsi="Arial" w:hint="cs"/>
          <w:sz w:val="26"/>
          <w:szCs w:val="26"/>
          <w:rtl/>
        </w:rPr>
        <w:t xml:space="preserve"> 15.10.18: ת"פ 43035-09-20 </w:t>
      </w:r>
      <w:r w:rsidR="008544D5" w:rsidRPr="00DB5061">
        <w:rPr>
          <w:rFonts w:ascii="Arial" w:hAnsi="Arial" w:hint="cs"/>
          <w:b/>
          <w:bCs/>
          <w:sz w:val="26"/>
          <w:szCs w:val="26"/>
          <w:rtl/>
        </w:rPr>
        <w:t>מח"ש</w:t>
      </w:r>
      <w:r w:rsidR="00DB5061" w:rsidRPr="00DB5061">
        <w:rPr>
          <w:rFonts w:ascii="Arial" w:hAnsi="Arial" w:hint="cs"/>
          <w:b/>
          <w:bCs/>
          <w:sz w:val="26"/>
          <w:szCs w:val="26"/>
          <w:rtl/>
        </w:rPr>
        <w:t xml:space="preserve"> נגד</w:t>
      </w:r>
      <w:r w:rsidR="00DB5061">
        <w:rPr>
          <w:rFonts w:ascii="Arial" w:hAnsi="Arial" w:hint="cs"/>
          <w:sz w:val="26"/>
          <w:szCs w:val="26"/>
          <w:rtl/>
        </w:rPr>
        <w:t xml:space="preserve"> בן אוליאל ואח'  14.6.23: ת"פ 46898-09-17 </w:t>
      </w:r>
      <w:r w:rsidR="00DB5061">
        <w:rPr>
          <w:rFonts w:ascii="Arial" w:hAnsi="Arial" w:hint="cs"/>
          <w:b/>
          <w:bCs/>
          <w:sz w:val="26"/>
          <w:szCs w:val="26"/>
          <w:rtl/>
        </w:rPr>
        <w:t>מח"ש נגד חליל</w:t>
      </w:r>
      <w:r w:rsidR="00DB5061">
        <w:rPr>
          <w:rFonts w:ascii="Arial" w:hAnsi="Arial" w:hint="cs"/>
          <w:sz w:val="26"/>
          <w:szCs w:val="26"/>
          <w:rtl/>
        </w:rPr>
        <w:t xml:space="preserve"> 8.4.18: ת"פ 21723-07-17 </w:t>
      </w:r>
      <w:r w:rsidR="00DB5061">
        <w:rPr>
          <w:rFonts w:ascii="Arial" w:hAnsi="Arial" w:hint="cs"/>
          <w:b/>
          <w:bCs/>
          <w:sz w:val="26"/>
          <w:szCs w:val="26"/>
          <w:rtl/>
        </w:rPr>
        <w:t xml:space="preserve">מדינת ישראל נגד אחסאן </w:t>
      </w:r>
      <w:r w:rsidR="00DB5061">
        <w:rPr>
          <w:rFonts w:ascii="Arial" w:hAnsi="Arial" w:hint="cs"/>
          <w:sz w:val="26"/>
          <w:szCs w:val="26"/>
          <w:rtl/>
        </w:rPr>
        <w:t xml:space="preserve">3.3.19: ת"פ 704-01-18 </w:t>
      </w:r>
      <w:r w:rsidR="00DB5061">
        <w:rPr>
          <w:rFonts w:ascii="Arial" w:hAnsi="Arial" w:hint="cs"/>
          <w:b/>
          <w:bCs/>
          <w:sz w:val="26"/>
          <w:szCs w:val="26"/>
          <w:rtl/>
        </w:rPr>
        <w:t>מח"ש נגד כתב</w:t>
      </w:r>
      <w:r w:rsidR="00DB5061">
        <w:rPr>
          <w:rFonts w:ascii="Arial" w:hAnsi="Arial" w:hint="cs"/>
          <w:sz w:val="26"/>
          <w:szCs w:val="26"/>
          <w:rtl/>
        </w:rPr>
        <w:t xml:space="preserve"> 18.9.19).</w:t>
      </w:r>
    </w:p>
    <w:p w:rsidR="008544D5" w:rsidRDefault="008544D5" w:rsidP="00382E77">
      <w:pPr>
        <w:spacing w:line="360" w:lineRule="auto"/>
        <w:jc w:val="both"/>
        <w:rPr>
          <w:rFonts w:ascii="Arial" w:hAnsi="Arial"/>
          <w:sz w:val="26"/>
          <w:szCs w:val="26"/>
          <w:rtl/>
        </w:rPr>
      </w:pPr>
    </w:p>
    <w:p w:rsidR="008544D5" w:rsidRPr="00ED6868" w:rsidRDefault="008544D5" w:rsidP="00382E77">
      <w:pPr>
        <w:spacing w:line="360" w:lineRule="auto"/>
        <w:jc w:val="both"/>
        <w:rPr>
          <w:rFonts w:ascii="Arial" w:hAnsi="Arial"/>
          <w:sz w:val="26"/>
          <w:szCs w:val="26"/>
          <w:rtl/>
        </w:rPr>
      </w:pPr>
      <w:r>
        <w:rPr>
          <w:rFonts w:ascii="Arial" w:hAnsi="Arial" w:hint="cs"/>
          <w:sz w:val="26"/>
          <w:szCs w:val="26"/>
          <w:rtl/>
        </w:rPr>
        <w:t xml:space="preserve">כזכור, בית-משפט השלום גזר את עונשו </w:t>
      </w:r>
      <w:r w:rsidRPr="00DB5061">
        <w:rPr>
          <w:rFonts w:ascii="Arial" w:hAnsi="Arial" w:hint="cs"/>
          <w:b/>
          <w:bCs/>
          <w:sz w:val="26"/>
          <w:szCs w:val="26"/>
          <w:rtl/>
        </w:rPr>
        <w:t>למאסר מותנה בלבד</w:t>
      </w:r>
      <w:r>
        <w:rPr>
          <w:rFonts w:ascii="Arial" w:hAnsi="Arial" w:hint="cs"/>
          <w:sz w:val="26"/>
          <w:szCs w:val="26"/>
          <w:rtl/>
        </w:rPr>
        <w:t>, כך שברור לכל, שעת</w:t>
      </w:r>
      <w:r w:rsidR="00DB5061">
        <w:rPr>
          <w:rFonts w:ascii="Arial" w:hAnsi="Arial" w:hint="cs"/>
          <w:sz w:val="26"/>
          <w:szCs w:val="26"/>
          <w:rtl/>
        </w:rPr>
        <w:t>ה</w:t>
      </w:r>
      <w:r>
        <w:rPr>
          <w:rFonts w:ascii="Arial" w:hAnsi="Arial" w:hint="cs"/>
          <w:sz w:val="26"/>
          <w:szCs w:val="26"/>
          <w:rtl/>
        </w:rPr>
        <w:t xml:space="preserve"> זהו הרף העליון העונשי האפשרי, </w:t>
      </w:r>
      <w:r w:rsidR="00DB5061">
        <w:rPr>
          <w:rFonts w:ascii="Arial" w:hAnsi="Arial" w:hint="cs"/>
          <w:sz w:val="26"/>
          <w:szCs w:val="26"/>
          <w:rtl/>
        </w:rPr>
        <w:t>ו</w:t>
      </w:r>
      <w:r>
        <w:rPr>
          <w:rFonts w:ascii="Arial" w:hAnsi="Arial" w:hint="cs"/>
          <w:sz w:val="26"/>
          <w:szCs w:val="26"/>
          <w:rtl/>
        </w:rPr>
        <w:t>מקל וחומר לאחר הזיכוי מן האירוע הראשון והריכוך של האירוע השני.</w:t>
      </w:r>
    </w:p>
    <w:p w:rsidR="005F4D8A" w:rsidRDefault="005F4D8A" w:rsidP="00382E77">
      <w:pPr>
        <w:spacing w:line="360" w:lineRule="auto"/>
        <w:jc w:val="both"/>
        <w:rPr>
          <w:rFonts w:ascii="Arial" w:hAnsi="Arial"/>
          <w:sz w:val="26"/>
          <w:szCs w:val="26"/>
          <w:rtl/>
        </w:rPr>
      </w:pPr>
    </w:p>
    <w:p w:rsidR="005F4D8A" w:rsidRDefault="005F4D8A" w:rsidP="00382E77">
      <w:pPr>
        <w:spacing w:line="360" w:lineRule="auto"/>
        <w:jc w:val="both"/>
        <w:rPr>
          <w:rFonts w:ascii="Arial" w:hAnsi="Arial"/>
          <w:b/>
          <w:bCs/>
          <w:sz w:val="26"/>
          <w:szCs w:val="26"/>
          <w:rtl/>
        </w:rPr>
      </w:pPr>
      <w:r>
        <w:rPr>
          <w:rFonts w:ascii="Arial" w:hAnsi="Arial" w:hint="cs"/>
          <w:b/>
          <w:bCs/>
          <w:sz w:val="26"/>
          <w:szCs w:val="26"/>
          <w:rtl/>
        </w:rPr>
        <w:t xml:space="preserve">לאור כל האמור לעיל, החלטתי לבטל את הרשעתו של הנאשם </w:t>
      </w:r>
      <w:r>
        <w:rPr>
          <w:rFonts w:ascii="Arial" w:hAnsi="Arial"/>
          <w:b/>
          <w:bCs/>
          <w:sz w:val="26"/>
          <w:szCs w:val="26"/>
          <w:rtl/>
        </w:rPr>
        <w:t>–</w:t>
      </w:r>
      <w:r>
        <w:rPr>
          <w:rFonts w:ascii="Arial" w:hAnsi="Arial" w:hint="cs"/>
          <w:b/>
          <w:bCs/>
          <w:sz w:val="26"/>
          <w:szCs w:val="26"/>
          <w:rtl/>
        </w:rPr>
        <w:t xml:space="preserve"> לא תירשם הרשעה.</w:t>
      </w:r>
    </w:p>
    <w:p w:rsidR="005F4D8A" w:rsidRDefault="005F4D8A" w:rsidP="00382E77">
      <w:pPr>
        <w:spacing w:line="360" w:lineRule="auto"/>
        <w:jc w:val="both"/>
        <w:rPr>
          <w:rFonts w:ascii="Arial" w:hAnsi="Arial"/>
          <w:b/>
          <w:bCs/>
          <w:sz w:val="26"/>
          <w:szCs w:val="26"/>
          <w:rtl/>
        </w:rPr>
      </w:pPr>
    </w:p>
    <w:p w:rsidR="005F4D8A" w:rsidRDefault="0089634C" w:rsidP="00382E77">
      <w:pPr>
        <w:spacing w:line="360" w:lineRule="auto"/>
        <w:jc w:val="both"/>
        <w:rPr>
          <w:rFonts w:ascii="Arial" w:hAnsi="Arial"/>
          <w:b/>
          <w:bCs/>
          <w:sz w:val="26"/>
          <w:szCs w:val="26"/>
          <w:rtl/>
        </w:rPr>
      </w:pPr>
      <w:r>
        <w:rPr>
          <w:rFonts w:ascii="Arial" w:hAnsi="Arial" w:hint="cs"/>
          <w:b/>
          <w:bCs/>
          <w:sz w:val="26"/>
          <w:szCs w:val="26"/>
          <w:rtl/>
        </w:rPr>
        <w:t xml:space="preserve">כנובע מביטול ההרשעה יש לשנות את גזר-הדין ולפיכך </w:t>
      </w:r>
      <w:r w:rsidR="005F4D8A">
        <w:rPr>
          <w:rFonts w:ascii="Arial" w:hAnsi="Arial" w:hint="cs"/>
          <w:b/>
          <w:bCs/>
          <w:sz w:val="26"/>
          <w:szCs w:val="26"/>
          <w:rtl/>
        </w:rPr>
        <w:t>אני גוזר על הנאשם את העונשים הבאים:</w:t>
      </w:r>
    </w:p>
    <w:p w:rsidR="005F4D8A" w:rsidRDefault="005F4D8A" w:rsidP="00382E77">
      <w:pPr>
        <w:spacing w:line="360" w:lineRule="auto"/>
        <w:jc w:val="both"/>
        <w:rPr>
          <w:rFonts w:ascii="Arial" w:hAnsi="Arial"/>
          <w:b/>
          <w:bCs/>
          <w:sz w:val="26"/>
          <w:szCs w:val="26"/>
          <w:rtl/>
        </w:rPr>
      </w:pPr>
    </w:p>
    <w:p w:rsidR="005F4D8A" w:rsidRDefault="005F4D8A" w:rsidP="005F4D8A">
      <w:pPr>
        <w:spacing w:line="360" w:lineRule="auto"/>
        <w:jc w:val="both"/>
        <w:rPr>
          <w:rFonts w:ascii="Arial" w:hAnsi="Arial"/>
          <w:sz w:val="26"/>
          <w:szCs w:val="26"/>
          <w:rtl/>
        </w:rPr>
      </w:pPr>
      <w:r w:rsidRPr="005F4D8A">
        <w:rPr>
          <w:rFonts w:ascii="Arial" w:hAnsi="Arial" w:hint="cs"/>
          <w:b/>
          <w:bCs/>
          <w:sz w:val="26"/>
          <w:szCs w:val="26"/>
          <w:rtl/>
        </w:rPr>
        <w:t>א.</w:t>
      </w:r>
      <w:r>
        <w:rPr>
          <w:rFonts w:ascii="Arial" w:hAnsi="Arial"/>
          <w:sz w:val="26"/>
          <w:szCs w:val="26"/>
          <w:rtl/>
        </w:rPr>
        <w:t xml:space="preserve"> </w:t>
      </w:r>
      <w:r>
        <w:rPr>
          <w:rFonts w:ascii="Arial" w:hAnsi="Arial" w:hint="cs"/>
          <w:sz w:val="26"/>
          <w:szCs w:val="26"/>
          <w:rtl/>
        </w:rPr>
        <w:t xml:space="preserve">100 שעות לתועלת הציבור לפי תוכנית שאותה יכין שירות המבחן ותובא לאישורי בתוך 45 ימים. </w:t>
      </w:r>
    </w:p>
    <w:p w:rsidR="005F4D8A" w:rsidRDefault="005F4D8A" w:rsidP="005F4D8A">
      <w:pPr>
        <w:spacing w:line="360" w:lineRule="auto"/>
        <w:jc w:val="both"/>
        <w:rPr>
          <w:rFonts w:ascii="Arial" w:hAnsi="Arial"/>
          <w:sz w:val="26"/>
          <w:szCs w:val="26"/>
          <w:rtl/>
        </w:rPr>
      </w:pPr>
    </w:p>
    <w:p w:rsidR="005F4D8A" w:rsidRDefault="005F4D8A" w:rsidP="005F4D8A">
      <w:pPr>
        <w:spacing w:line="360" w:lineRule="auto"/>
        <w:jc w:val="both"/>
        <w:rPr>
          <w:rFonts w:ascii="Arial" w:hAnsi="Arial"/>
          <w:sz w:val="26"/>
          <w:szCs w:val="26"/>
          <w:rtl/>
        </w:rPr>
      </w:pPr>
      <w:r>
        <w:rPr>
          <w:rFonts w:ascii="Arial" w:hAnsi="Arial" w:hint="cs"/>
          <w:sz w:val="26"/>
          <w:szCs w:val="26"/>
          <w:rtl/>
        </w:rPr>
        <w:lastRenderedPageBreak/>
        <w:t>עותק לשירות המבחן.</w:t>
      </w:r>
    </w:p>
    <w:p w:rsidR="005F4D8A" w:rsidRDefault="005F4D8A" w:rsidP="005F4D8A">
      <w:pPr>
        <w:spacing w:line="360" w:lineRule="auto"/>
        <w:jc w:val="both"/>
        <w:rPr>
          <w:rFonts w:ascii="Arial" w:hAnsi="Arial"/>
          <w:sz w:val="26"/>
          <w:szCs w:val="26"/>
          <w:rtl/>
        </w:rPr>
      </w:pPr>
    </w:p>
    <w:p w:rsidR="005F4D8A" w:rsidRDefault="005F4D8A" w:rsidP="005F4D8A">
      <w:pPr>
        <w:spacing w:line="360" w:lineRule="auto"/>
        <w:jc w:val="both"/>
        <w:rPr>
          <w:rFonts w:ascii="Arial" w:hAnsi="Arial"/>
          <w:sz w:val="26"/>
          <w:szCs w:val="26"/>
          <w:rtl/>
        </w:rPr>
      </w:pPr>
      <w:r w:rsidRPr="005F4D8A">
        <w:rPr>
          <w:rFonts w:ascii="Arial" w:hAnsi="Arial" w:hint="cs"/>
          <w:b/>
          <w:bCs/>
          <w:sz w:val="26"/>
          <w:szCs w:val="26"/>
          <w:rtl/>
        </w:rPr>
        <w:t xml:space="preserve">ב. </w:t>
      </w:r>
      <w:r>
        <w:rPr>
          <w:rFonts w:ascii="Arial" w:hAnsi="Arial" w:hint="cs"/>
          <w:sz w:val="26"/>
          <w:szCs w:val="26"/>
          <w:rtl/>
        </w:rPr>
        <w:t>הנאשם יחתום על התחייבות להימנע במשך שנה מהיום מעבירה שיש בה יסוד של אלימות.</w:t>
      </w:r>
    </w:p>
    <w:p w:rsidR="005F4D8A" w:rsidRDefault="005F4D8A" w:rsidP="005F4D8A">
      <w:pPr>
        <w:spacing w:line="360" w:lineRule="auto"/>
        <w:jc w:val="both"/>
        <w:rPr>
          <w:rFonts w:ascii="Arial" w:hAnsi="Arial"/>
          <w:sz w:val="26"/>
          <w:szCs w:val="26"/>
          <w:rtl/>
        </w:rPr>
      </w:pPr>
    </w:p>
    <w:p w:rsidR="005F4D8A" w:rsidRDefault="005F4D8A" w:rsidP="005F4D8A">
      <w:pPr>
        <w:spacing w:line="360" w:lineRule="auto"/>
        <w:jc w:val="both"/>
        <w:rPr>
          <w:rFonts w:ascii="Arial" w:hAnsi="Arial"/>
          <w:sz w:val="26"/>
          <w:szCs w:val="26"/>
          <w:rtl/>
        </w:rPr>
      </w:pPr>
      <w:r>
        <w:rPr>
          <w:rFonts w:ascii="Arial" w:hAnsi="Arial" w:hint="cs"/>
          <w:sz w:val="26"/>
          <w:szCs w:val="26"/>
          <w:rtl/>
        </w:rPr>
        <w:t>זכות ערעור לבית-המשפט המחוזי מרכז/לוד בתוך 45 ימים.</w:t>
      </w:r>
    </w:p>
    <w:p w:rsidR="005F4D8A" w:rsidRDefault="005F4D8A" w:rsidP="005F4D8A">
      <w:pPr>
        <w:spacing w:line="360" w:lineRule="auto"/>
        <w:jc w:val="both"/>
        <w:rPr>
          <w:rFonts w:ascii="Arial" w:hAnsi="Arial"/>
          <w:sz w:val="26"/>
          <w:szCs w:val="26"/>
          <w:rtl/>
        </w:rPr>
      </w:pPr>
    </w:p>
    <w:p w:rsidR="005F4D8A" w:rsidRDefault="005F4D8A" w:rsidP="005F4D8A">
      <w:pPr>
        <w:spacing w:line="360" w:lineRule="auto"/>
        <w:jc w:val="both"/>
        <w:rPr>
          <w:rFonts w:ascii="Arial" w:hAnsi="Arial"/>
          <w:sz w:val="26"/>
          <w:szCs w:val="26"/>
          <w:rtl/>
        </w:rPr>
      </w:pPr>
      <w:r>
        <w:rPr>
          <w:rFonts w:ascii="Arial" w:hAnsi="Arial" w:hint="cs"/>
          <w:sz w:val="26"/>
          <w:szCs w:val="26"/>
          <w:rtl/>
        </w:rPr>
        <w:t>צו כללי למוצגים.</w:t>
      </w:r>
    </w:p>
    <w:p w:rsidR="005F4D8A" w:rsidRDefault="005F4D8A" w:rsidP="005F4D8A">
      <w:pPr>
        <w:spacing w:line="360" w:lineRule="auto"/>
        <w:jc w:val="both"/>
        <w:rPr>
          <w:rFonts w:ascii="Arial" w:hAnsi="Arial"/>
          <w:sz w:val="26"/>
          <w:szCs w:val="26"/>
          <w:rtl/>
        </w:rPr>
      </w:pPr>
    </w:p>
    <w:p w:rsidR="005F4D8A" w:rsidRPr="005F4D8A" w:rsidRDefault="005F4D8A" w:rsidP="005F4D8A">
      <w:pPr>
        <w:spacing w:line="360" w:lineRule="auto"/>
        <w:jc w:val="both"/>
        <w:rPr>
          <w:rFonts w:ascii="Arial" w:hAnsi="Arial"/>
          <w:sz w:val="26"/>
          <w:szCs w:val="26"/>
          <w:rtl/>
        </w:rPr>
      </w:pPr>
      <w:r>
        <w:rPr>
          <w:rFonts w:ascii="Arial" w:hAnsi="Arial" w:hint="cs"/>
          <w:sz w:val="26"/>
          <w:szCs w:val="26"/>
          <w:rtl/>
        </w:rPr>
        <w:t>התיק סגור.</w:t>
      </w:r>
    </w:p>
    <w:p w:rsidR="00BC769D" w:rsidRDefault="00BC769D">
      <w:pPr>
        <w:rPr>
          <w:rFonts w:ascii="Arial" w:hAnsi="Arial"/>
          <w:b/>
          <w:bCs/>
          <w:sz w:val="26"/>
          <w:szCs w:val="26"/>
          <w:rtl/>
        </w:rPr>
      </w:pPr>
    </w:p>
    <w:p w:rsidR="00BC769D" w:rsidRPr="000F2247" w:rsidRDefault="00BC769D">
      <w:pPr>
        <w:rPr>
          <w:rFonts w:ascii="Arial" w:hAnsi="Arial"/>
          <w:b/>
          <w:bCs/>
          <w:sz w:val="26"/>
          <w:szCs w:val="26"/>
          <w:rtl/>
        </w:rPr>
      </w:pPr>
    </w:p>
    <w:p w:rsidR="00ED4465" w:rsidRDefault="00684E84" w:rsidP="003074E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א' אב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19 יולי 2023</w:t>
          </w:r>
        </w:sdtContent>
      </w:sdt>
      <w:r w:rsidR="00CB733E">
        <w:rPr>
          <w:rFonts w:ascii="Arial" w:hAnsi="Arial"/>
          <w:b/>
          <w:bCs/>
          <w:sz w:val="26"/>
          <w:szCs w:val="26"/>
          <w:rtl/>
        </w:rPr>
        <w:t>, ב</w:t>
      </w:r>
      <w:r w:rsidR="00CB733E">
        <w:rPr>
          <w:rFonts w:ascii="Arial" w:hAnsi="Arial" w:hint="cs"/>
          <w:b/>
          <w:bCs/>
          <w:sz w:val="26"/>
          <w:szCs w:val="26"/>
          <w:rtl/>
        </w:rPr>
        <w:t>מעמד</w:t>
      </w:r>
      <w:r w:rsidRPr="000F2247">
        <w:rPr>
          <w:rFonts w:ascii="Arial" w:hAnsi="Arial"/>
          <w:b/>
          <w:bCs/>
          <w:sz w:val="26"/>
          <w:szCs w:val="26"/>
          <w:rtl/>
        </w:rPr>
        <w:t xml:space="preserve"> הצדדים.</w:t>
      </w:r>
    </w:p>
    <w:p w:rsidR="00DB5061" w:rsidRDefault="00DB5061" w:rsidP="00ED4465">
      <w:pPr>
        <w:spacing w:line="360" w:lineRule="auto"/>
        <w:jc w:val="both"/>
        <w:rPr>
          <w:rFonts w:ascii="Arial" w:hAnsi="Arial"/>
          <w:b/>
          <w:bCs/>
          <w:sz w:val="26"/>
          <w:szCs w:val="26"/>
          <w:rtl/>
        </w:rPr>
      </w:pP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2007587678"/>
        </w:sdtPr>
        <w:sdtEndPr/>
        <w:sdtContent>
          <w:r w:rsidR="008D456F">
            <w:rPr>
              <w:noProof/>
            </w:rPr>
            <w:drawing>
              <wp:inline distT="0" distB="0" distL="0" distR="0" wp14:editId="50D07946">
                <wp:extent cx="1497563" cy="50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497563" cy="5090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2"/>
      <w:headerReference w:type="default" r:id="rId13"/>
      <w:footerReference w:type="even" r:id="rId14"/>
      <w:footerReference w:type="default" r:id="rId15"/>
      <w:headerReference w:type="first" r:id="rId16"/>
      <w:footerReference w:type="first" r:id="rId17"/>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8D456F">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8D456F">
      <w:rPr>
        <w:noProof/>
        <w:rtl/>
      </w:rPr>
      <w:t>8</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56F" w:rsidRDefault="008D456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56F" w:rsidRDefault="008D456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בראשון לציון</w:t>
              </w:r>
            </w:p>
          </w:tc>
        </w:sdtContent>
      </w:sdt>
    </w:tr>
    <w:tr w:rsidR="00507694">
      <w:trPr>
        <w:trHeight w:val="337"/>
        <w:jc w:val="center"/>
      </w:trPr>
      <w:tc>
        <w:tcPr>
          <w:tcW w:w="5131" w:type="dxa"/>
        </w:tcPr>
        <w:p w:rsidR="00507694" w:rsidRDefault="008D456F">
          <w:pPr>
            <w:rPr>
              <w:rFonts w:cs="FrankRuehl"/>
              <w:sz w:val="28"/>
              <w:szCs w:val="28"/>
              <w:rtl/>
            </w:rPr>
          </w:pPr>
          <w:sdt>
            <w:sdtPr>
              <w:rPr>
                <w:rtl/>
              </w:rPr>
              <w:alias w:val="1170"/>
              <w:tag w:val="1170"/>
              <w:id w:val="2112628154"/>
              <w:text w:multiLine="1"/>
            </w:sdtPr>
            <w:sdtEndPr/>
            <w:sdtContent>
              <w:r w:rsidR="005E512F">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5E512F">
                <w:rPr>
                  <w:rFonts w:cs="FrankRuehl"/>
                  <w:sz w:val="28"/>
                  <w:szCs w:val="28"/>
                  <w:rtl/>
                </w:rPr>
                <w:t>70314-11-20</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5E512F">
                <w:rPr>
                  <w:rFonts w:cs="FrankRuehl"/>
                  <w:sz w:val="28"/>
                  <w:szCs w:val="28"/>
                  <w:rtl/>
                </w:rPr>
                <w:t>מדינת ישראל נ' גואטה</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56F" w:rsidRDefault="008D456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50F349A"/>
    <w:multiLevelType w:val="hybridMultilevel"/>
    <w:tmpl w:val="50625038"/>
    <w:lvl w:ilvl="0" w:tplc="61FA1CF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352F8"/>
    <w:rsid w:val="001C0414"/>
    <w:rsid w:val="001C6F8C"/>
    <w:rsid w:val="00211E87"/>
    <w:rsid w:val="00212125"/>
    <w:rsid w:val="00224AC0"/>
    <w:rsid w:val="00250D34"/>
    <w:rsid w:val="00274550"/>
    <w:rsid w:val="002B7D23"/>
    <w:rsid w:val="002C160D"/>
    <w:rsid w:val="002D6C61"/>
    <w:rsid w:val="003066BC"/>
    <w:rsid w:val="003074E5"/>
    <w:rsid w:val="00367565"/>
    <w:rsid w:val="00382E77"/>
    <w:rsid w:val="003C04C6"/>
    <w:rsid w:val="003C34FC"/>
    <w:rsid w:val="003D7D8A"/>
    <w:rsid w:val="003E0C9F"/>
    <w:rsid w:val="00407362"/>
    <w:rsid w:val="004215DC"/>
    <w:rsid w:val="00456677"/>
    <w:rsid w:val="004902D6"/>
    <w:rsid w:val="004B282C"/>
    <w:rsid w:val="004B72CF"/>
    <w:rsid w:val="004C1119"/>
    <w:rsid w:val="004F0102"/>
    <w:rsid w:val="00507694"/>
    <w:rsid w:val="005232A8"/>
    <w:rsid w:val="00583759"/>
    <w:rsid w:val="005B090D"/>
    <w:rsid w:val="005C7B0B"/>
    <w:rsid w:val="005E512F"/>
    <w:rsid w:val="005F4D8A"/>
    <w:rsid w:val="00683ABD"/>
    <w:rsid w:val="00684E84"/>
    <w:rsid w:val="006C2095"/>
    <w:rsid w:val="00706644"/>
    <w:rsid w:val="00757983"/>
    <w:rsid w:val="007F2D1B"/>
    <w:rsid w:val="00821F29"/>
    <w:rsid w:val="00822550"/>
    <w:rsid w:val="00832D73"/>
    <w:rsid w:val="008544D5"/>
    <w:rsid w:val="008819B4"/>
    <w:rsid w:val="00891615"/>
    <w:rsid w:val="0089634C"/>
    <w:rsid w:val="008A4DCE"/>
    <w:rsid w:val="008D2A75"/>
    <w:rsid w:val="008D456F"/>
    <w:rsid w:val="00937343"/>
    <w:rsid w:val="00947B38"/>
    <w:rsid w:val="009705CC"/>
    <w:rsid w:val="00985985"/>
    <w:rsid w:val="009A730D"/>
    <w:rsid w:val="009E35A7"/>
    <w:rsid w:val="009E49A1"/>
    <w:rsid w:val="009F504D"/>
    <w:rsid w:val="00A504C4"/>
    <w:rsid w:val="00B0110E"/>
    <w:rsid w:val="00B05847"/>
    <w:rsid w:val="00B22E0A"/>
    <w:rsid w:val="00B9559C"/>
    <w:rsid w:val="00BC769D"/>
    <w:rsid w:val="00BD2AB8"/>
    <w:rsid w:val="00BD67E7"/>
    <w:rsid w:val="00BE0015"/>
    <w:rsid w:val="00C02463"/>
    <w:rsid w:val="00C45023"/>
    <w:rsid w:val="00C55E62"/>
    <w:rsid w:val="00C572E8"/>
    <w:rsid w:val="00C75D6E"/>
    <w:rsid w:val="00CB733E"/>
    <w:rsid w:val="00CE7496"/>
    <w:rsid w:val="00D202F4"/>
    <w:rsid w:val="00D3203D"/>
    <w:rsid w:val="00DB5061"/>
    <w:rsid w:val="00DC66C1"/>
    <w:rsid w:val="00E70F9C"/>
    <w:rsid w:val="00E960C6"/>
    <w:rsid w:val="00ED4465"/>
    <w:rsid w:val="00ED6868"/>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5F4D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421332" w:rsidP="00421332">
          <w:pPr>
            <w:pStyle w:val="779E22585710421C8C89FB185AEA4F296"/>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421332" w:rsidP="00421332">
          <w:pPr>
            <w:pStyle w:val="010484D989C74E84A895BCF1D17B4C1C6"/>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2F28BE" w:rsidP="002F28BE">
          <w:pPr>
            <w:pStyle w:val="4C499F2ED676413B965A992DD16BA9683"/>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2F28BE"/>
    <w:rsid w:val="00311E12"/>
    <w:rsid w:val="00313980"/>
    <w:rsid w:val="00421332"/>
    <w:rsid w:val="00604245"/>
    <w:rsid w:val="00AF3697"/>
    <w:rsid w:val="00CC13F5"/>
    <w:rsid w:val="00FB393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2F28BE"/>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FB393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FB393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FB393B"/>
    <w:pPr>
      <w:bidi/>
      <w:spacing w:after="0" w:line="240" w:lineRule="auto"/>
    </w:pPr>
    <w:rPr>
      <w:rFonts w:ascii="Times New Roman" w:eastAsia="Times New Roman" w:hAnsi="Times New Roman" w:cs="David"/>
      <w:sz w:val="24"/>
      <w:szCs w:val="24"/>
    </w:rPr>
  </w:style>
  <w:style w:type="paragraph" w:customStyle="1" w:styleId="779E22585710421C8C89FB185AEA4F296">
    <w:name w:val="779E22585710421C8C89FB185AEA4F296"/>
    <w:rsid w:val="00421332"/>
    <w:pPr>
      <w:bidi/>
      <w:spacing w:after="0" w:line="240" w:lineRule="auto"/>
    </w:pPr>
    <w:rPr>
      <w:rFonts w:ascii="Times New Roman" w:eastAsia="Times New Roman" w:hAnsi="Times New Roman" w:cs="David"/>
      <w:sz w:val="24"/>
      <w:szCs w:val="24"/>
    </w:rPr>
  </w:style>
  <w:style w:type="paragraph" w:customStyle="1" w:styleId="010484D989C74E84A895BCF1D17B4C1C6">
    <w:name w:val="010484D989C74E84A895BCF1D17B4C1C6"/>
    <w:rsid w:val="00421332"/>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421332"/>
    <w:pPr>
      <w:bidi/>
      <w:spacing w:after="0" w:line="240" w:lineRule="auto"/>
    </w:pPr>
    <w:rPr>
      <w:rFonts w:ascii="Times New Roman" w:eastAsia="Times New Roman" w:hAnsi="Times New Roman" w:cs="David"/>
      <w:sz w:val="24"/>
      <w:szCs w:val="24"/>
    </w:rPr>
  </w:style>
  <w:style w:type="paragraph" w:customStyle="1" w:styleId="4C499F2ED676413B965A992DD16BA9683">
    <w:name w:val="4C499F2ED676413B965A992DD16BA9683"/>
    <w:rsid w:val="002F28BE"/>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1384</Words>
  <Characters>6923</Characters>
  <Application>Microsoft Office Word</Application>
  <DocSecurity>4</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2023-07-17T09:30:00Z</cp:lastPrinted>
  <dcterms:created xsi:type="dcterms:W3CDTF">2023-07-19T08:24:00Z</dcterms:created>
  <dcterms:modified xsi:type="dcterms:W3CDTF">2023-07-19T08:24:00Z</dcterms:modified>
</cp:coreProperties>
</file>